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9B8F" w14:textId="77777777" w:rsidR="005B1006" w:rsidRDefault="005B1006" w:rsidP="005B1006">
      <w:pPr>
        <w:spacing w:after="3" w:line="259" w:lineRule="auto"/>
        <w:ind w:left="10" w:right="3547" w:hanging="10"/>
        <w:jc w:val="right"/>
      </w:pPr>
      <w:r>
        <w:rPr>
          <w:b/>
        </w:rPr>
        <w:t xml:space="preserve">ZĀĻU APRAKSTS </w:t>
      </w:r>
      <w:r>
        <w:br w:type="page"/>
      </w:r>
    </w:p>
    <w:p w14:paraId="7FC98746" w14:textId="77777777" w:rsidR="005B1006" w:rsidRDefault="005B1006" w:rsidP="005B1006">
      <w:pPr>
        <w:pStyle w:val="Heading1"/>
        <w:tabs>
          <w:tab w:val="center" w:pos="1619"/>
        </w:tabs>
        <w:ind w:left="-10" w:right="0" w:firstLine="0"/>
      </w:pPr>
      <w:r>
        <w:t xml:space="preserve">1. </w:t>
      </w:r>
      <w:r>
        <w:tab/>
        <w:t>ZĀĻU NOSAUKUMS</w:t>
      </w:r>
      <w:r>
        <w:rPr>
          <w:b w:val="0"/>
        </w:rPr>
        <w:t xml:space="preserve"> </w:t>
      </w:r>
    </w:p>
    <w:p w14:paraId="71578FD3" w14:textId="77777777" w:rsidR="005B1006" w:rsidRDefault="005B1006" w:rsidP="005B1006">
      <w:pPr>
        <w:spacing w:after="23" w:line="259" w:lineRule="auto"/>
        <w:ind w:firstLine="0"/>
      </w:pPr>
      <w:r>
        <w:t xml:space="preserve"> </w:t>
      </w:r>
    </w:p>
    <w:p w14:paraId="4735742F" w14:textId="77777777" w:rsidR="005B1006" w:rsidRDefault="005B1006" w:rsidP="005B1006">
      <w:pPr>
        <w:spacing w:after="27"/>
        <w:ind w:left="-10" w:right="8"/>
      </w:pPr>
      <w:r>
        <w:t xml:space="preserve">Lixiana 15 mg apvalkotās tabletes </w:t>
      </w:r>
    </w:p>
    <w:p w14:paraId="68B70384" w14:textId="77777777" w:rsidR="005B1006" w:rsidRDefault="005B1006" w:rsidP="005B1006">
      <w:pPr>
        <w:spacing w:after="28"/>
        <w:ind w:left="-10" w:right="8"/>
      </w:pPr>
      <w:r>
        <w:t xml:space="preserve">Lixiana 30 mg apvalkotās tabletes </w:t>
      </w:r>
    </w:p>
    <w:p w14:paraId="500ED3FE" w14:textId="77777777" w:rsidR="005B1006" w:rsidRDefault="005B1006" w:rsidP="005B1006">
      <w:pPr>
        <w:ind w:left="-10" w:right="8"/>
      </w:pPr>
      <w:r>
        <w:t xml:space="preserve">Lixiana 60 mg apvalkotās tabletes </w:t>
      </w:r>
    </w:p>
    <w:p w14:paraId="63E78679" w14:textId="77777777" w:rsidR="005B1006" w:rsidRDefault="005B1006" w:rsidP="005B1006">
      <w:pPr>
        <w:spacing w:after="0" w:line="259" w:lineRule="auto"/>
        <w:ind w:left="3" w:firstLine="0"/>
      </w:pPr>
      <w:r>
        <w:t xml:space="preserve"> </w:t>
      </w:r>
    </w:p>
    <w:p w14:paraId="441EA992" w14:textId="77777777" w:rsidR="005B1006" w:rsidRDefault="005B1006" w:rsidP="005B1006">
      <w:pPr>
        <w:spacing w:after="52" w:line="259" w:lineRule="auto"/>
        <w:ind w:left="3" w:firstLine="0"/>
      </w:pPr>
      <w:r>
        <w:t xml:space="preserve"> </w:t>
      </w:r>
    </w:p>
    <w:p w14:paraId="675C292B" w14:textId="77777777" w:rsidR="005B1006" w:rsidRDefault="005B1006" w:rsidP="005B1006">
      <w:pPr>
        <w:pStyle w:val="Heading1"/>
        <w:tabs>
          <w:tab w:val="center" w:pos="3171"/>
        </w:tabs>
        <w:ind w:left="-10" w:right="0" w:firstLine="0"/>
      </w:pPr>
      <w:r>
        <w:t xml:space="preserve">2. </w:t>
      </w:r>
      <w:r>
        <w:tab/>
        <w:t xml:space="preserve">KVALITATĪVAIS UN KVANTITATĪVAIS SASTĀVS </w:t>
      </w:r>
    </w:p>
    <w:p w14:paraId="55A43C5F" w14:textId="77777777" w:rsidR="005B1006" w:rsidRDefault="005B1006" w:rsidP="005B1006">
      <w:pPr>
        <w:spacing w:after="21" w:line="259" w:lineRule="auto"/>
        <w:ind w:firstLine="0"/>
      </w:pPr>
      <w:r>
        <w:rPr>
          <w:b/>
        </w:rPr>
        <w:t xml:space="preserve"> </w:t>
      </w:r>
    </w:p>
    <w:p w14:paraId="18ACFBFB" w14:textId="77777777" w:rsidR="005B1006" w:rsidRDefault="005B1006" w:rsidP="005B1006">
      <w:pPr>
        <w:spacing w:after="29"/>
        <w:ind w:left="-10" w:right="1612"/>
      </w:pPr>
      <w:r>
        <w:rPr>
          <w:u w:val="single" w:color="000000"/>
        </w:rPr>
        <w:t>Lixiana 15 mg apvalkotās tabletes</w:t>
      </w:r>
      <w:r>
        <w:t xml:space="preserve"> Katra 15 mg apvalkotā tablete satur 15 mg edoksabāna (</w:t>
      </w:r>
      <w:r>
        <w:rPr>
          <w:i/>
        </w:rPr>
        <w:t>edoxaban</w:t>
      </w:r>
      <w:r>
        <w:t xml:space="preserve">) (tozilāta veidā). </w:t>
      </w:r>
    </w:p>
    <w:p w14:paraId="3F4B7C23" w14:textId="77777777" w:rsidR="005B1006" w:rsidRDefault="005B1006" w:rsidP="005B1006">
      <w:pPr>
        <w:spacing w:after="23" w:line="259" w:lineRule="auto"/>
        <w:ind w:firstLine="0"/>
      </w:pPr>
      <w:r>
        <w:t xml:space="preserve"> </w:t>
      </w:r>
    </w:p>
    <w:p w14:paraId="4DE62E25" w14:textId="77777777" w:rsidR="005B1006" w:rsidRDefault="005B1006" w:rsidP="005B1006">
      <w:pPr>
        <w:spacing w:after="45" w:line="259" w:lineRule="auto"/>
        <w:ind w:left="0" w:hanging="10"/>
      </w:pPr>
      <w:r>
        <w:rPr>
          <w:u w:val="single" w:color="000000"/>
        </w:rPr>
        <w:t>Lixiana 30 mg apvalkotās tabletes</w:t>
      </w:r>
      <w:r>
        <w:t xml:space="preserve"> </w:t>
      </w:r>
    </w:p>
    <w:p w14:paraId="12851CB5" w14:textId="77777777" w:rsidR="005B1006" w:rsidRDefault="005B1006" w:rsidP="005B1006">
      <w:pPr>
        <w:ind w:left="-10" w:right="8"/>
      </w:pPr>
      <w:r>
        <w:t>Katra 30 mg apvalkotā tablete satur 30 mg edoksabāna (</w:t>
      </w:r>
      <w:r>
        <w:rPr>
          <w:i/>
        </w:rPr>
        <w:t>edoxaban</w:t>
      </w:r>
      <w:r>
        <w:t xml:space="preserve">) (tozilāta veidā). </w:t>
      </w:r>
    </w:p>
    <w:p w14:paraId="17AB0860" w14:textId="77777777" w:rsidR="005B1006" w:rsidRDefault="005B1006" w:rsidP="005B1006">
      <w:pPr>
        <w:spacing w:after="23" w:line="259" w:lineRule="auto"/>
        <w:ind w:firstLine="0"/>
      </w:pPr>
      <w:r>
        <w:t xml:space="preserve"> </w:t>
      </w:r>
    </w:p>
    <w:p w14:paraId="176CFC55" w14:textId="77777777" w:rsidR="005B1006" w:rsidRDefault="005B1006" w:rsidP="005B1006">
      <w:pPr>
        <w:pStyle w:val="Heading2"/>
        <w:spacing w:after="45"/>
        <w:ind w:left="0"/>
      </w:pPr>
      <w:r>
        <w:t>Lixiana 60 mg apvalkotās tabletes</w:t>
      </w:r>
      <w:r>
        <w:rPr>
          <w:u w:val="none"/>
        </w:rPr>
        <w:t xml:space="preserve"> </w:t>
      </w:r>
    </w:p>
    <w:p w14:paraId="4B18F7DC" w14:textId="77777777" w:rsidR="005B1006" w:rsidRDefault="005B1006" w:rsidP="005B1006">
      <w:pPr>
        <w:ind w:left="-10" w:right="8"/>
      </w:pPr>
      <w:r>
        <w:t>Katra 60 mg apvalkotā tablete satur 60 mg edoksabāna (</w:t>
      </w:r>
      <w:r>
        <w:rPr>
          <w:i/>
        </w:rPr>
        <w:t>edoxaban</w:t>
      </w:r>
      <w:r>
        <w:t xml:space="preserve">) (tozilāta veidā). </w:t>
      </w:r>
    </w:p>
    <w:p w14:paraId="17E9887E" w14:textId="77777777" w:rsidR="005B1006" w:rsidRDefault="005B1006" w:rsidP="005B1006">
      <w:pPr>
        <w:spacing w:after="46" w:line="259" w:lineRule="auto"/>
        <w:ind w:firstLine="0"/>
      </w:pPr>
      <w:r>
        <w:t xml:space="preserve"> </w:t>
      </w:r>
    </w:p>
    <w:p w14:paraId="75260DE1" w14:textId="77777777" w:rsidR="005B1006" w:rsidRDefault="005B1006" w:rsidP="005B1006">
      <w:pPr>
        <w:ind w:left="-10" w:right="8"/>
      </w:pPr>
      <w:r>
        <w:t xml:space="preserve">Pilnu palīgvielu sarakstu skatīt 6.1. apakšpunktā. </w:t>
      </w:r>
    </w:p>
    <w:p w14:paraId="4FEF7536" w14:textId="77777777" w:rsidR="005B1006" w:rsidRDefault="005B1006" w:rsidP="005B1006">
      <w:pPr>
        <w:spacing w:after="0" w:line="259" w:lineRule="auto"/>
        <w:ind w:firstLine="0"/>
      </w:pPr>
      <w:r>
        <w:t xml:space="preserve"> </w:t>
      </w:r>
    </w:p>
    <w:p w14:paraId="307077DA" w14:textId="77777777" w:rsidR="005B1006" w:rsidRDefault="005B1006" w:rsidP="005B1006">
      <w:pPr>
        <w:spacing w:after="44" w:line="259" w:lineRule="auto"/>
        <w:ind w:firstLine="0"/>
      </w:pPr>
      <w:r>
        <w:t xml:space="preserve"> </w:t>
      </w:r>
    </w:p>
    <w:p w14:paraId="65B2BADD" w14:textId="77777777" w:rsidR="005B1006" w:rsidRDefault="005B1006" w:rsidP="005B1006">
      <w:pPr>
        <w:pStyle w:val="Heading1"/>
        <w:tabs>
          <w:tab w:val="center" w:pos="1320"/>
        </w:tabs>
        <w:ind w:left="-10" w:right="0" w:firstLine="0"/>
      </w:pPr>
      <w:r>
        <w:t xml:space="preserve">3. </w:t>
      </w:r>
      <w:r>
        <w:tab/>
        <w:t xml:space="preserve">ZĀĻU FORMA </w:t>
      </w:r>
    </w:p>
    <w:p w14:paraId="14B793DE" w14:textId="77777777" w:rsidR="005B1006" w:rsidRDefault="005B1006" w:rsidP="005B1006">
      <w:pPr>
        <w:spacing w:after="44" w:line="259" w:lineRule="auto"/>
        <w:ind w:firstLine="0"/>
      </w:pPr>
      <w:r>
        <w:rPr>
          <w:b/>
        </w:rPr>
        <w:t xml:space="preserve"> </w:t>
      </w:r>
    </w:p>
    <w:p w14:paraId="61B06E7C" w14:textId="77777777" w:rsidR="005B1006" w:rsidRDefault="005B1006" w:rsidP="005B1006">
      <w:pPr>
        <w:ind w:left="-10" w:right="8"/>
      </w:pPr>
      <w:r>
        <w:t xml:space="preserve">Apvalkotā tablete. </w:t>
      </w:r>
    </w:p>
    <w:p w14:paraId="488B65C9" w14:textId="77777777" w:rsidR="005B1006" w:rsidRDefault="005B1006" w:rsidP="005B1006">
      <w:pPr>
        <w:spacing w:after="21" w:line="259" w:lineRule="auto"/>
        <w:ind w:firstLine="0"/>
      </w:pPr>
      <w:r>
        <w:t xml:space="preserve"> </w:t>
      </w:r>
    </w:p>
    <w:p w14:paraId="26CCA896" w14:textId="77777777" w:rsidR="005B1006" w:rsidRDefault="005B1006" w:rsidP="005B1006">
      <w:pPr>
        <w:spacing w:after="57" w:line="259" w:lineRule="auto"/>
        <w:ind w:left="0" w:hanging="10"/>
      </w:pPr>
      <w:r>
        <w:rPr>
          <w:u w:val="single" w:color="000000"/>
        </w:rPr>
        <w:t>Lixiana 15 mg apvalkotās tabletes</w:t>
      </w:r>
      <w:r>
        <w:t xml:space="preserve"> </w:t>
      </w:r>
    </w:p>
    <w:p w14:paraId="146C50CC" w14:textId="77777777" w:rsidR="005B1006" w:rsidRDefault="005B1006" w:rsidP="005B1006">
      <w:pPr>
        <w:ind w:left="-10" w:right="8"/>
      </w:pPr>
      <w:r>
        <w:t xml:space="preserve">Oranžas, apaļas apvalkotās tabletes (diametrs 6,7 mm) ar iespiestu uzrakstu „DSC L15”. </w:t>
      </w:r>
    </w:p>
    <w:p w14:paraId="1A644E78" w14:textId="77777777" w:rsidR="005B1006" w:rsidRDefault="005B1006" w:rsidP="005B1006">
      <w:pPr>
        <w:spacing w:after="22" w:line="259" w:lineRule="auto"/>
        <w:ind w:firstLine="0"/>
      </w:pPr>
      <w:r>
        <w:t xml:space="preserve"> </w:t>
      </w:r>
    </w:p>
    <w:p w14:paraId="15231974" w14:textId="77777777" w:rsidR="005B1006" w:rsidRDefault="005B1006" w:rsidP="005B1006">
      <w:pPr>
        <w:pStyle w:val="Heading2"/>
        <w:spacing w:after="57"/>
        <w:ind w:left="0"/>
      </w:pPr>
      <w:r>
        <w:t>Lixiana 30 mg apvalkotās tablete</w:t>
      </w:r>
      <w:r>
        <w:rPr>
          <w:u w:val="none"/>
        </w:rPr>
        <w:t xml:space="preserve">s </w:t>
      </w:r>
    </w:p>
    <w:p w14:paraId="7E943208" w14:textId="77777777" w:rsidR="005B1006" w:rsidRDefault="005B1006" w:rsidP="005B1006">
      <w:pPr>
        <w:ind w:left="-10" w:right="8"/>
      </w:pPr>
      <w:r>
        <w:t xml:space="preserve">Rozā, apaļas apvalkotās tabletes (diametrs 8,5 mm) ar iespiestu uzrakstu „DSC L30”. </w:t>
      </w:r>
    </w:p>
    <w:p w14:paraId="16505445" w14:textId="77777777" w:rsidR="005B1006" w:rsidRDefault="005B1006" w:rsidP="005B1006">
      <w:pPr>
        <w:spacing w:after="21" w:line="259" w:lineRule="auto"/>
        <w:ind w:firstLine="0"/>
      </w:pPr>
      <w:r>
        <w:t xml:space="preserve"> </w:t>
      </w:r>
    </w:p>
    <w:p w14:paraId="22BD9C2E" w14:textId="77777777" w:rsidR="005B1006" w:rsidRDefault="005B1006" w:rsidP="005B1006">
      <w:pPr>
        <w:spacing w:after="58" w:line="259" w:lineRule="auto"/>
        <w:ind w:left="0" w:hanging="10"/>
      </w:pPr>
      <w:r>
        <w:rPr>
          <w:u w:val="single" w:color="000000"/>
        </w:rPr>
        <w:t>Lixiana 60 mg apvalkotās tablete</w:t>
      </w:r>
      <w:r>
        <w:t xml:space="preserve">s: </w:t>
      </w:r>
    </w:p>
    <w:p w14:paraId="5F1D64A1" w14:textId="77777777" w:rsidR="005B1006" w:rsidRDefault="005B1006" w:rsidP="005B1006">
      <w:pPr>
        <w:ind w:left="-10" w:right="8"/>
      </w:pPr>
      <w:r>
        <w:t xml:space="preserve">Dzeltenas, apaļas apvalkotās tabletes (diametrs 10,5 mm) ar iespiestu uzrakstu „DSC L60”. </w:t>
      </w:r>
    </w:p>
    <w:p w14:paraId="05AA5F1D" w14:textId="77777777" w:rsidR="005B1006" w:rsidRDefault="005B1006" w:rsidP="005B1006">
      <w:pPr>
        <w:spacing w:after="0" w:line="259" w:lineRule="auto"/>
        <w:ind w:firstLine="0"/>
      </w:pPr>
      <w:r>
        <w:t xml:space="preserve"> </w:t>
      </w:r>
    </w:p>
    <w:p w14:paraId="740FA137" w14:textId="77777777" w:rsidR="005B1006" w:rsidRDefault="005B1006" w:rsidP="005B1006">
      <w:pPr>
        <w:spacing w:after="49" w:line="259" w:lineRule="auto"/>
        <w:ind w:firstLine="0"/>
      </w:pPr>
      <w:r>
        <w:t xml:space="preserve"> </w:t>
      </w:r>
    </w:p>
    <w:p w14:paraId="16A8B857" w14:textId="77777777" w:rsidR="005B1006" w:rsidRDefault="005B1006" w:rsidP="005B1006">
      <w:pPr>
        <w:pStyle w:val="Heading1"/>
        <w:tabs>
          <w:tab w:val="center" w:pos="1943"/>
        </w:tabs>
        <w:ind w:left="-10" w:right="0" w:firstLine="0"/>
      </w:pPr>
      <w:r>
        <w:t xml:space="preserve">4. </w:t>
      </w:r>
      <w:r>
        <w:tab/>
        <w:t xml:space="preserve">KLĪNISKĀ INFORMĀCIJA </w:t>
      </w:r>
    </w:p>
    <w:p w14:paraId="61B490BC" w14:textId="77777777" w:rsidR="005B1006" w:rsidRDefault="005B1006" w:rsidP="005B1006">
      <w:pPr>
        <w:spacing w:after="43" w:line="259" w:lineRule="auto"/>
        <w:ind w:firstLine="0"/>
      </w:pPr>
      <w:r>
        <w:rPr>
          <w:b/>
        </w:rPr>
        <w:t xml:space="preserve"> </w:t>
      </w:r>
    </w:p>
    <w:p w14:paraId="67215FCD" w14:textId="77777777" w:rsidR="005B1006" w:rsidRDefault="005B1006" w:rsidP="005B1006">
      <w:pPr>
        <w:pStyle w:val="Heading2"/>
        <w:tabs>
          <w:tab w:val="center" w:pos="1748"/>
        </w:tabs>
        <w:ind w:left="-10" w:firstLine="0"/>
      </w:pPr>
      <w:r>
        <w:rPr>
          <w:b/>
          <w:u w:val="none"/>
        </w:rPr>
        <w:t xml:space="preserve">4.1. </w:t>
      </w:r>
      <w:r>
        <w:rPr>
          <w:b/>
          <w:u w:val="none"/>
        </w:rPr>
        <w:tab/>
        <w:t xml:space="preserve">Terapeitiskās indikācijas </w:t>
      </w:r>
    </w:p>
    <w:p w14:paraId="06651DB5" w14:textId="77777777" w:rsidR="005B1006" w:rsidRDefault="005B1006" w:rsidP="005B1006">
      <w:pPr>
        <w:spacing w:after="45" w:line="259" w:lineRule="auto"/>
        <w:ind w:firstLine="0"/>
      </w:pPr>
      <w:r>
        <w:rPr>
          <w:b/>
        </w:rPr>
        <w:t xml:space="preserve"> </w:t>
      </w:r>
    </w:p>
    <w:p w14:paraId="7031613F" w14:textId="77777777" w:rsidR="005B1006" w:rsidRDefault="005B1006" w:rsidP="005B1006">
      <w:pPr>
        <w:ind w:left="-10" w:right="8"/>
      </w:pPr>
      <w:r>
        <w:t xml:space="preserve">Lixiana ir paredzēta insulta un sistēmiskas embolijas profilaksei pieaugušiem pacientiem ar nevalvulāras izcelsmes priekškambaru mirgošanu (NVPM) un vienu vai vairākiem riska faktoriem, tādiem kā sastrēguma sirds mazspēja, hipertensija, vecums ≥75 gadi, cukura diabēts, insults vai tranzitora išēmiska lēkme (TIL) anamnēzē. </w:t>
      </w:r>
    </w:p>
    <w:p w14:paraId="316CAC71" w14:textId="77777777" w:rsidR="005B1006" w:rsidRDefault="005B1006" w:rsidP="005B1006">
      <w:pPr>
        <w:spacing w:after="46" w:line="259" w:lineRule="auto"/>
        <w:ind w:firstLine="0"/>
      </w:pPr>
      <w:r>
        <w:t xml:space="preserve"> </w:t>
      </w:r>
    </w:p>
    <w:p w14:paraId="31203CF3" w14:textId="77777777" w:rsidR="005B1006" w:rsidRDefault="005B1006" w:rsidP="005B1006">
      <w:pPr>
        <w:spacing w:line="321" w:lineRule="auto"/>
        <w:ind w:left="-10" w:right="8"/>
      </w:pPr>
      <w:r>
        <w:t xml:space="preserve">Lixiana ir paredzēta dziļo vēnu trombozes (DVT) un plaušu embolijas (PE) ārstēšanai un recidivējošas DVT un PE profilaksei pieaugušajiem (informāciju par hemodinamiski nestabiliem PE pacientiem skatīt 4.4. apakšpunktā). </w:t>
      </w:r>
    </w:p>
    <w:p w14:paraId="3CCEFE36" w14:textId="77777777" w:rsidR="005B1006" w:rsidRDefault="005B1006" w:rsidP="005B1006">
      <w:pPr>
        <w:spacing w:after="44" w:line="259" w:lineRule="auto"/>
        <w:ind w:left="3" w:firstLine="0"/>
      </w:pPr>
      <w:r>
        <w:t xml:space="preserve"> </w:t>
      </w:r>
    </w:p>
    <w:p w14:paraId="6BFB1F7A" w14:textId="77777777" w:rsidR="005B1006" w:rsidRPr="00FB2578" w:rsidRDefault="005B1006" w:rsidP="005B1006">
      <w:pPr>
        <w:tabs>
          <w:tab w:val="center" w:pos="1753"/>
        </w:tabs>
        <w:spacing w:after="0" w:line="259" w:lineRule="auto"/>
        <w:ind w:left="-10" w:firstLine="0"/>
        <w:rPr>
          <w:lang w:val="pt-PT"/>
        </w:rPr>
      </w:pPr>
      <w:r w:rsidRPr="00FB2578">
        <w:rPr>
          <w:b/>
          <w:lang w:val="pt-PT"/>
        </w:rPr>
        <w:t xml:space="preserve">4.2. </w:t>
      </w:r>
      <w:r w:rsidRPr="00FB2578">
        <w:rPr>
          <w:b/>
          <w:lang w:val="pt-PT"/>
        </w:rPr>
        <w:tab/>
        <w:t xml:space="preserve">Devas un lietošanas veids </w:t>
      </w:r>
    </w:p>
    <w:p w14:paraId="1BF37E90" w14:textId="77777777" w:rsidR="005B1006" w:rsidRPr="00FB2578" w:rsidRDefault="005B1006" w:rsidP="005B1006">
      <w:pPr>
        <w:spacing w:after="40" w:line="259" w:lineRule="auto"/>
        <w:ind w:left="3" w:firstLine="0"/>
        <w:rPr>
          <w:lang w:val="pt-PT"/>
        </w:rPr>
      </w:pPr>
      <w:r w:rsidRPr="00FB2578">
        <w:rPr>
          <w:b/>
          <w:lang w:val="pt-PT"/>
        </w:rPr>
        <w:t xml:space="preserve"> </w:t>
      </w:r>
    </w:p>
    <w:p w14:paraId="674B1BDF" w14:textId="77777777" w:rsidR="005B1006" w:rsidRPr="00FB2578" w:rsidRDefault="005B1006" w:rsidP="005B1006">
      <w:pPr>
        <w:pStyle w:val="Heading2"/>
        <w:ind w:left="0"/>
        <w:rPr>
          <w:lang w:val="pt-PT"/>
        </w:rPr>
      </w:pPr>
      <w:r w:rsidRPr="00FB2578">
        <w:rPr>
          <w:lang w:val="pt-PT"/>
        </w:rPr>
        <w:t>Devas</w:t>
      </w:r>
      <w:r w:rsidRPr="00FB2578">
        <w:rPr>
          <w:u w:val="none"/>
          <w:lang w:val="pt-PT"/>
        </w:rPr>
        <w:t xml:space="preserve"> </w:t>
      </w:r>
    </w:p>
    <w:p w14:paraId="477937BE" w14:textId="77777777" w:rsidR="005B1006" w:rsidRPr="00FB2578" w:rsidRDefault="005B1006" w:rsidP="005B1006">
      <w:pPr>
        <w:spacing w:after="50" w:line="259" w:lineRule="auto"/>
        <w:ind w:firstLine="0"/>
        <w:rPr>
          <w:lang w:val="pt-PT"/>
        </w:rPr>
      </w:pPr>
      <w:r w:rsidRPr="00FB2578">
        <w:rPr>
          <w:lang w:val="pt-PT"/>
        </w:rPr>
        <w:t xml:space="preserve"> </w:t>
      </w:r>
    </w:p>
    <w:p w14:paraId="105C45EC" w14:textId="77777777" w:rsidR="005B1006" w:rsidRPr="00FB2578" w:rsidRDefault="005B1006" w:rsidP="005B1006">
      <w:pPr>
        <w:pStyle w:val="Heading3"/>
        <w:ind w:left="-1"/>
        <w:rPr>
          <w:lang w:val="pt-PT"/>
        </w:rPr>
      </w:pPr>
      <w:r w:rsidRPr="00FB2578">
        <w:rPr>
          <w:lang w:val="pt-PT"/>
        </w:rPr>
        <w:t xml:space="preserve">Insulta un sistēmiskas embolijas profilakse </w:t>
      </w:r>
    </w:p>
    <w:p w14:paraId="3EF336AA" w14:textId="77777777" w:rsidR="005B1006" w:rsidRPr="00FB2578" w:rsidRDefault="005B1006" w:rsidP="005B1006">
      <w:pPr>
        <w:spacing w:line="321" w:lineRule="auto"/>
        <w:ind w:left="-10" w:right="3199"/>
        <w:rPr>
          <w:lang w:val="pt-PT"/>
        </w:rPr>
      </w:pPr>
      <w:r w:rsidRPr="00FB2578">
        <w:rPr>
          <w:lang w:val="pt-PT"/>
        </w:rPr>
        <w:t xml:space="preserve">Ieteicamā deva ir 60 mg edoksabāna vienreiz dienā.  Edoksabāna terapija NVPM pacientiem jāturpina ilgstoši. </w:t>
      </w:r>
    </w:p>
    <w:p w14:paraId="1384FFFC" w14:textId="77777777" w:rsidR="005B1006" w:rsidRPr="00FB2578" w:rsidRDefault="005B1006" w:rsidP="005B1006">
      <w:pPr>
        <w:spacing w:after="0" w:line="259" w:lineRule="auto"/>
        <w:ind w:firstLine="0"/>
        <w:rPr>
          <w:lang w:val="pt-PT"/>
        </w:rPr>
      </w:pPr>
      <w:r w:rsidRPr="00FB2578">
        <w:rPr>
          <w:lang w:val="pt-PT"/>
        </w:rPr>
        <w:t xml:space="preserve"> </w:t>
      </w:r>
    </w:p>
    <w:p w14:paraId="705D336C" w14:textId="77777777" w:rsidR="005B1006" w:rsidRPr="00FB2578" w:rsidRDefault="005B1006" w:rsidP="005B1006">
      <w:pPr>
        <w:pStyle w:val="Heading3"/>
        <w:ind w:left="-1"/>
        <w:rPr>
          <w:lang w:val="pt-PT"/>
        </w:rPr>
      </w:pPr>
      <w:r w:rsidRPr="00FB2578">
        <w:rPr>
          <w:lang w:val="pt-PT"/>
        </w:rPr>
        <w:t xml:space="preserve">DVT ārstēšana, PE ārstēšana un recidivējošas DVT un PE (VTE) profilakse </w:t>
      </w:r>
    </w:p>
    <w:p w14:paraId="428A9E03" w14:textId="77777777" w:rsidR="005B1006" w:rsidRPr="00FB2578" w:rsidRDefault="005B1006" w:rsidP="005B1006">
      <w:pPr>
        <w:spacing w:line="321" w:lineRule="auto"/>
        <w:ind w:left="-10" w:right="8"/>
        <w:rPr>
          <w:lang w:val="pt-PT"/>
        </w:rPr>
      </w:pPr>
      <w:r w:rsidRPr="00FB2578">
        <w:rPr>
          <w:lang w:val="pt-PT"/>
        </w:rPr>
        <w:t xml:space="preserve">Ieteicamā deva ir 60 mg edoksabāna vienreiz dienā pēc sākotnēji parenterāli lietota antikoagulanta vismaz 5 dienas (skatīt 5.1. apakšpunktu). Edoksabānu un sākotnēji parenterāli lietotu antikoagulantu nedrīkst ievadīt vienlaikus. </w:t>
      </w:r>
    </w:p>
    <w:p w14:paraId="5ADCA298" w14:textId="77777777" w:rsidR="005B1006" w:rsidRPr="00FB2578" w:rsidRDefault="005B1006" w:rsidP="005B1006">
      <w:pPr>
        <w:ind w:left="-10" w:right="8"/>
        <w:rPr>
          <w:lang w:val="pt-PT"/>
        </w:rPr>
      </w:pPr>
      <w:r w:rsidRPr="00FB2578">
        <w:rPr>
          <w:lang w:val="pt-PT"/>
        </w:rPr>
        <w:t xml:space="preserve">Terapijas ilgums DVT un PE (venozā trombembolija (VTE)) ārstēšanai un recidivējošas VTE profilaksei jāizvēlas individuāli pēc rūpīgas ārstēšanas ieguvumu un asiņošanas riska izvērtēšanas (skatīt 4.4. apakšpunktu). Īslaicīgu terapiju (vismaz 3 mēneši) piemēro pārejošu riska faktoru gadījumā (piemēram, nesena ķirurģiska operācija, trauma, imobilizācija), un ilgstošāku terapiju piemēro pastāvīgu riska faktoru vai idiopātiskas DVT vai PE gadījumā. </w:t>
      </w:r>
    </w:p>
    <w:p w14:paraId="5D568253" w14:textId="77777777" w:rsidR="005B1006" w:rsidRPr="00FB2578" w:rsidRDefault="005B1006" w:rsidP="005B1006">
      <w:pPr>
        <w:spacing w:after="47" w:line="259" w:lineRule="auto"/>
        <w:ind w:firstLine="0"/>
        <w:rPr>
          <w:lang w:val="pt-PT"/>
        </w:rPr>
      </w:pPr>
      <w:r w:rsidRPr="00FB2578">
        <w:rPr>
          <w:lang w:val="pt-PT"/>
        </w:rPr>
        <w:t xml:space="preserve"> </w:t>
      </w:r>
    </w:p>
    <w:p w14:paraId="5AD29393" w14:textId="77777777" w:rsidR="005B1006" w:rsidRPr="00FB2578" w:rsidRDefault="005B1006" w:rsidP="005B1006">
      <w:pPr>
        <w:spacing w:line="322" w:lineRule="auto"/>
        <w:ind w:left="-10" w:right="8"/>
        <w:rPr>
          <w:lang w:val="pt-PT"/>
        </w:rPr>
      </w:pPr>
      <w:r w:rsidRPr="00FB2578">
        <w:rPr>
          <w:lang w:val="pt-PT"/>
        </w:rPr>
        <w:t xml:space="preserve">NVPM un VTE gadījumā ieteicamā deva ir 30 mg edoksabāna vienreiz dienā pacientiem, kam ir vismaz viens no tālāk norādītajiem klīniskajiem faktoriem. </w:t>
      </w:r>
    </w:p>
    <w:p w14:paraId="5B745E0B" w14:textId="77777777" w:rsidR="005B1006" w:rsidRPr="00FB2578" w:rsidRDefault="005B1006" w:rsidP="005B1006">
      <w:pPr>
        <w:numPr>
          <w:ilvl w:val="0"/>
          <w:numId w:val="1"/>
        </w:numPr>
        <w:spacing w:after="28"/>
        <w:ind w:right="8" w:hanging="568"/>
        <w:rPr>
          <w:lang w:val="pt-PT"/>
        </w:rPr>
      </w:pPr>
      <w:r w:rsidRPr="00FB2578">
        <w:rPr>
          <w:lang w:val="pt-PT"/>
        </w:rPr>
        <w:t xml:space="preserve">Vidēji smagi vai smagi nieru darbības traucējumi (kreatinīna klīrenss (CrCl) 15–50 ml/min). </w:t>
      </w:r>
    </w:p>
    <w:p w14:paraId="1A48BE90" w14:textId="77777777" w:rsidR="005B1006" w:rsidRDefault="005B1006" w:rsidP="005B1006">
      <w:pPr>
        <w:numPr>
          <w:ilvl w:val="0"/>
          <w:numId w:val="1"/>
        </w:numPr>
        <w:spacing w:after="28"/>
        <w:ind w:right="8" w:hanging="568"/>
      </w:pPr>
      <w:r>
        <w:t xml:space="preserve">Maza ķermeņa masa ≤60 kg. </w:t>
      </w:r>
    </w:p>
    <w:p w14:paraId="73C369BC" w14:textId="77777777" w:rsidR="005B1006" w:rsidRDefault="005B1006" w:rsidP="005B1006">
      <w:pPr>
        <w:numPr>
          <w:ilvl w:val="0"/>
          <w:numId w:val="1"/>
        </w:numPr>
        <w:ind w:right="8" w:hanging="568"/>
      </w:pPr>
      <w:r>
        <w:t xml:space="preserve">P-glikoproteīna (P-gp) inhibitoru – ciklosporīna, dronedarona, eritromicīna vai ketokonazola – </w:t>
      </w:r>
    </w:p>
    <w:p w14:paraId="2ABC3FD1" w14:textId="77777777" w:rsidR="005B1006" w:rsidRDefault="005B1006" w:rsidP="005B1006">
      <w:pPr>
        <w:ind w:left="571" w:right="8"/>
      </w:pPr>
      <w:r>
        <w:t xml:space="preserve">vienlaicīga lietošana. </w:t>
      </w:r>
    </w:p>
    <w:p w14:paraId="12E90BC5" w14:textId="77777777" w:rsidR="005B1006" w:rsidRDefault="005B1006" w:rsidP="005B1006">
      <w:pPr>
        <w:spacing w:after="53" w:line="259" w:lineRule="auto"/>
        <w:ind w:left="3" w:firstLine="0"/>
      </w:pPr>
      <w:r>
        <w:t xml:space="preserve"> </w:t>
      </w:r>
    </w:p>
    <w:p w14:paraId="11754C0D" w14:textId="77777777" w:rsidR="005B1006" w:rsidRDefault="005B1006" w:rsidP="005B1006">
      <w:pPr>
        <w:pStyle w:val="Heading4"/>
        <w:ind w:left="0" w:right="0"/>
      </w:pPr>
      <w:r>
        <w:t xml:space="preserve">1. tabula. Devu pārskats NVPM un VTE (DVT un PE) gadījumā </w:t>
      </w:r>
    </w:p>
    <w:tbl>
      <w:tblPr>
        <w:tblStyle w:val="TableGrid"/>
        <w:tblW w:w="8957" w:type="dxa"/>
        <w:tblInd w:w="-10" w:type="dxa"/>
        <w:tblCellMar>
          <w:top w:w="65" w:type="dxa"/>
          <w:left w:w="59" w:type="dxa"/>
          <w:bottom w:w="0" w:type="dxa"/>
          <w:right w:w="115" w:type="dxa"/>
        </w:tblCellMar>
        <w:tblLook w:val="04A0" w:firstRow="1" w:lastRow="0" w:firstColumn="1" w:lastColumn="0" w:noHBand="0" w:noVBand="1"/>
      </w:tblPr>
      <w:tblGrid>
        <w:gridCol w:w="2705"/>
        <w:gridCol w:w="4254"/>
        <w:gridCol w:w="1998"/>
      </w:tblGrid>
      <w:tr w:rsidR="005B1006" w14:paraId="1FE31D52" w14:textId="77777777" w:rsidTr="00A250AE">
        <w:trPr>
          <w:trHeight w:val="305"/>
        </w:trPr>
        <w:tc>
          <w:tcPr>
            <w:tcW w:w="895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BF34D23" w14:textId="77777777" w:rsidR="005B1006" w:rsidRDefault="005B1006" w:rsidP="00A250AE">
            <w:pPr>
              <w:spacing w:after="0" w:line="259" w:lineRule="auto"/>
              <w:ind w:left="53" w:firstLine="0"/>
              <w:jc w:val="center"/>
            </w:pPr>
            <w:r>
              <w:rPr>
                <w:b/>
              </w:rPr>
              <w:t xml:space="preserve">Devu pārskata norādījumi </w:t>
            </w:r>
          </w:p>
        </w:tc>
      </w:tr>
      <w:tr w:rsidR="005B1006" w14:paraId="5E29DA90" w14:textId="77777777" w:rsidTr="00A250AE">
        <w:trPr>
          <w:trHeight w:val="585"/>
        </w:trPr>
        <w:tc>
          <w:tcPr>
            <w:tcW w:w="2705" w:type="dxa"/>
            <w:tcBorders>
              <w:top w:val="single" w:sz="6" w:space="0" w:color="000000"/>
              <w:left w:val="single" w:sz="6" w:space="0" w:color="000000"/>
              <w:bottom w:val="single" w:sz="6" w:space="0" w:color="000000"/>
              <w:right w:val="single" w:sz="6" w:space="0" w:color="000000"/>
            </w:tcBorders>
            <w:vAlign w:val="center"/>
          </w:tcPr>
          <w:p w14:paraId="66E891F4" w14:textId="77777777" w:rsidR="005B1006" w:rsidRDefault="005B1006" w:rsidP="00A250AE">
            <w:pPr>
              <w:spacing w:after="0" w:line="259" w:lineRule="auto"/>
              <w:ind w:left="55" w:firstLine="0"/>
              <w:jc w:val="center"/>
            </w:pPr>
            <w:r>
              <w:t xml:space="preserve">Ieteicamā deva </w:t>
            </w:r>
          </w:p>
        </w:tc>
        <w:tc>
          <w:tcPr>
            <w:tcW w:w="4254" w:type="dxa"/>
            <w:tcBorders>
              <w:top w:val="single" w:sz="6" w:space="0" w:color="000000"/>
              <w:left w:val="single" w:sz="6" w:space="0" w:color="000000"/>
              <w:bottom w:val="single" w:sz="6" w:space="0" w:color="000000"/>
              <w:right w:val="single" w:sz="6" w:space="0" w:color="000000"/>
            </w:tcBorders>
            <w:vAlign w:val="center"/>
          </w:tcPr>
          <w:p w14:paraId="03341C34" w14:textId="77777777" w:rsidR="005B1006" w:rsidRDefault="005B1006" w:rsidP="00A250AE">
            <w:pPr>
              <w:spacing w:after="0" w:line="259" w:lineRule="auto"/>
              <w:ind w:left="113" w:firstLine="0"/>
              <w:jc w:val="center"/>
            </w:pPr>
            <w:r>
              <w:t xml:space="preserve"> </w:t>
            </w:r>
          </w:p>
        </w:tc>
        <w:tc>
          <w:tcPr>
            <w:tcW w:w="1997" w:type="dxa"/>
            <w:tcBorders>
              <w:top w:val="single" w:sz="6" w:space="0" w:color="000000"/>
              <w:left w:val="single" w:sz="6" w:space="0" w:color="000000"/>
              <w:bottom w:val="single" w:sz="6" w:space="0" w:color="000000"/>
              <w:right w:val="single" w:sz="6" w:space="0" w:color="000000"/>
            </w:tcBorders>
          </w:tcPr>
          <w:p w14:paraId="012AB336" w14:textId="77777777" w:rsidR="005B1006" w:rsidRDefault="005B1006" w:rsidP="00A250AE">
            <w:pPr>
              <w:spacing w:after="0" w:line="259" w:lineRule="auto"/>
              <w:ind w:left="0" w:firstLine="0"/>
              <w:jc w:val="center"/>
            </w:pPr>
            <w:r>
              <w:t xml:space="preserve">60 mg edoksabāna vienreiz dienā </w:t>
            </w:r>
          </w:p>
        </w:tc>
      </w:tr>
      <w:tr w:rsidR="005B1006" w:rsidRPr="00FB2578" w14:paraId="0D353631" w14:textId="77777777" w:rsidTr="00A250AE">
        <w:trPr>
          <w:trHeight w:val="304"/>
        </w:trPr>
        <w:tc>
          <w:tcPr>
            <w:tcW w:w="895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6B29CC7" w14:textId="77777777" w:rsidR="005B1006" w:rsidRPr="00FB2578" w:rsidRDefault="005B1006" w:rsidP="00A250AE">
            <w:pPr>
              <w:spacing w:after="0" w:line="259" w:lineRule="auto"/>
              <w:ind w:left="56" w:firstLine="0"/>
              <w:jc w:val="center"/>
              <w:rPr>
                <w:lang w:val="pt-PT"/>
              </w:rPr>
            </w:pPr>
            <w:r w:rsidRPr="00FB2578">
              <w:rPr>
                <w:lang w:val="pt-PT"/>
              </w:rPr>
              <w:t xml:space="preserve">Ieteikumi par devu pacientiem ar vismaz vienu no šiem klīniskajiem faktoriem </w:t>
            </w:r>
          </w:p>
        </w:tc>
      </w:tr>
      <w:tr w:rsidR="005B1006" w14:paraId="69F9D64C" w14:textId="77777777" w:rsidTr="00A250AE">
        <w:trPr>
          <w:trHeight w:val="619"/>
        </w:trPr>
        <w:tc>
          <w:tcPr>
            <w:tcW w:w="2705" w:type="dxa"/>
            <w:tcBorders>
              <w:top w:val="single" w:sz="6" w:space="0" w:color="000000"/>
              <w:left w:val="single" w:sz="6" w:space="0" w:color="000000"/>
              <w:bottom w:val="single" w:sz="6" w:space="0" w:color="000000"/>
              <w:right w:val="single" w:sz="6" w:space="0" w:color="000000"/>
            </w:tcBorders>
            <w:vAlign w:val="center"/>
          </w:tcPr>
          <w:p w14:paraId="4D6CBC9C" w14:textId="77777777" w:rsidR="005B1006" w:rsidRDefault="005B1006" w:rsidP="00A250AE">
            <w:pPr>
              <w:spacing w:after="0" w:line="259" w:lineRule="auto"/>
              <w:ind w:left="54" w:firstLine="0"/>
              <w:jc w:val="center"/>
            </w:pPr>
            <w:r>
              <w:t xml:space="preserve">Nieru darbības traucējumi </w:t>
            </w:r>
          </w:p>
        </w:tc>
        <w:tc>
          <w:tcPr>
            <w:tcW w:w="4254" w:type="dxa"/>
            <w:tcBorders>
              <w:top w:val="single" w:sz="6" w:space="0" w:color="000000"/>
              <w:left w:val="single" w:sz="6" w:space="0" w:color="000000"/>
              <w:bottom w:val="single" w:sz="6" w:space="0" w:color="000000"/>
              <w:right w:val="single" w:sz="6" w:space="0" w:color="000000"/>
            </w:tcBorders>
            <w:vAlign w:val="center"/>
          </w:tcPr>
          <w:p w14:paraId="5F8C7919" w14:textId="77777777" w:rsidR="005B1006" w:rsidRPr="00FB2578" w:rsidRDefault="005B1006" w:rsidP="00A250AE">
            <w:pPr>
              <w:spacing w:after="0" w:line="259" w:lineRule="auto"/>
              <w:ind w:left="0" w:firstLine="0"/>
              <w:rPr>
                <w:lang w:val="pt-PT"/>
              </w:rPr>
            </w:pPr>
            <w:r w:rsidRPr="00FB2578">
              <w:rPr>
                <w:i/>
                <w:lang w:val="pt-PT"/>
              </w:rPr>
              <w:t>Vidēji smagi vai smagi (CrCl 15–50 ml/min)</w:t>
            </w:r>
            <w:r w:rsidRPr="00FB2578">
              <w:rPr>
                <w:lang w:val="pt-PT"/>
              </w:rPr>
              <w:t xml:space="preserve"> </w:t>
            </w:r>
          </w:p>
        </w:tc>
        <w:tc>
          <w:tcPr>
            <w:tcW w:w="1997" w:type="dxa"/>
            <w:vMerge w:val="restart"/>
            <w:tcBorders>
              <w:top w:val="single" w:sz="6" w:space="0" w:color="000000"/>
              <w:left w:val="single" w:sz="6" w:space="0" w:color="000000"/>
              <w:bottom w:val="single" w:sz="6" w:space="0" w:color="000000"/>
              <w:right w:val="single" w:sz="6" w:space="0" w:color="000000"/>
            </w:tcBorders>
            <w:vAlign w:val="center"/>
          </w:tcPr>
          <w:p w14:paraId="2B0E986A" w14:textId="77777777" w:rsidR="005B1006" w:rsidRDefault="005B1006" w:rsidP="00A250AE">
            <w:pPr>
              <w:spacing w:after="0" w:line="259" w:lineRule="auto"/>
              <w:ind w:left="0" w:firstLine="0"/>
              <w:jc w:val="center"/>
            </w:pPr>
            <w:r>
              <w:t xml:space="preserve">30 mg edoksabāna vienreiz dienā </w:t>
            </w:r>
          </w:p>
        </w:tc>
      </w:tr>
      <w:tr w:rsidR="005B1006" w14:paraId="64633F64" w14:textId="77777777" w:rsidTr="00A250AE">
        <w:trPr>
          <w:trHeight w:val="517"/>
        </w:trPr>
        <w:tc>
          <w:tcPr>
            <w:tcW w:w="2705" w:type="dxa"/>
            <w:tcBorders>
              <w:top w:val="single" w:sz="6" w:space="0" w:color="000000"/>
              <w:left w:val="single" w:sz="6" w:space="0" w:color="000000"/>
              <w:bottom w:val="single" w:sz="6" w:space="0" w:color="000000"/>
              <w:right w:val="single" w:sz="6" w:space="0" w:color="000000"/>
            </w:tcBorders>
            <w:vAlign w:val="center"/>
          </w:tcPr>
          <w:p w14:paraId="309F1FDD" w14:textId="77777777" w:rsidR="005B1006" w:rsidRDefault="005B1006" w:rsidP="00A250AE">
            <w:pPr>
              <w:spacing w:after="0" w:line="259" w:lineRule="auto"/>
              <w:ind w:left="53" w:firstLine="0"/>
              <w:jc w:val="center"/>
            </w:pPr>
            <w:r>
              <w:t xml:space="preserve">Maza ķermeņa masa </w:t>
            </w:r>
          </w:p>
        </w:tc>
        <w:tc>
          <w:tcPr>
            <w:tcW w:w="4254" w:type="dxa"/>
            <w:tcBorders>
              <w:top w:val="single" w:sz="6" w:space="0" w:color="000000"/>
              <w:left w:val="single" w:sz="6" w:space="0" w:color="000000"/>
              <w:bottom w:val="single" w:sz="6" w:space="0" w:color="000000"/>
              <w:right w:val="single" w:sz="6" w:space="0" w:color="000000"/>
            </w:tcBorders>
            <w:vAlign w:val="center"/>
          </w:tcPr>
          <w:p w14:paraId="63963D98" w14:textId="77777777" w:rsidR="005B1006" w:rsidRDefault="005B1006" w:rsidP="00A250AE">
            <w:pPr>
              <w:spacing w:after="0" w:line="259" w:lineRule="auto"/>
              <w:ind w:left="0" w:firstLine="0"/>
            </w:pPr>
            <w:r>
              <w:t>≤</w:t>
            </w:r>
            <w:r>
              <w:rPr>
                <w:i/>
              </w:rPr>
              <w:t xml:space="preserve">60 kg  </w:t>
            </w:r>
          </w:p>
        </w:tc>
        <w:tc>
          <w:tcPr>
            <w:tcW w:w="0" w:type="auto"/>
            <w:vMerge/>
            <w:tcBorders>
              <w:top w:val="nil"/>
              <w:left w:val="single" w:sz="6" w:space="0" w:color="000000"/>
              <w:bottom w:val="nil"/>
              <w:right w:val="single" w:sz="6" w:space="0" w:color="000000"/>
            </w:tcBorders>
          </w:tcPr>
          <w:p w14:paraId="15C5E808" w14:textId="77777777" w:rsidR="005B1006" w:rsidRDefault="005B1006" w:rsidP="00A250AE">
            <w:pPr>
              <w:spacing w:after="160" w:line="259" w:lineRule="auto"/>
              <w:ind w:left="0" w:firstLine="0"/>
            </w:pPr>
          </w:p>
        </w:tc>
      </w:tr>
      <w:tr w:rsidR="005B1006" w:rsidRPr="00FB2578" w14:paraId="0AD59379" w14:textId="77777777" w:rsidTr="00A250AE">
        <w:trPr>
          <w:trHeight w:val="560"/>
        </w:trPr>
        <w:tc>
          <w:tcPr>
            <w:tcW w:w="2705" w:type="dxa"/>
            <w:tcBorders>
              <w:top w:val="single" w:sz="6" w:space="0" w:color="000000"/>
              <w:left w:val="single" w:sz="6" w:space="0" w:color="000000"/>
              <w:bottom w:val="single" w:sz="6" w:space="0" w:color="000000"/>
              <w:right w:val="single" w:sz="6" w:space="0" w:color="000000"/>
            </w:tcBorders>
            <w:vAlign w:val="center"/>
          </w:tcPr>
          <w:p w14:paraId="4E83B9EA" w14:textId="77777777" w:rsidR="005B1006" w:rsidRDefault="005B1006" w:rsidP="00A250AE">
            <w:pPr>
              <w:spacing w:after="0" w:line="259" w:lineRule="auto"/>
              <w:ind w:left="53" w:firstLine="0"/>
              <w:jc w:val="center"/>
            </w:pPr>
            <w:r>
              <w:t xml:space="preserve">P-gp inhibitori </w:t>
            </w:r>
          </w:p>
        </w:tc>
        <w:tc>
          <w:tcPr>
            <w:tcW w:w="4254" w:type="dxa"/>
            <w:tcBorders>
              <w:top w:val="single" w:sz="6" w:space="0" w:color="000000"/>
              <w:left w:val="single" w:sz="6" w:space="0" w:color="000000"/>
              <w:bottom w:val="single" w:sz="6" w:space="0" w:color="000000"/>
              <w:right w:val="single" w:sz="6" w:space="0" w:color="000000"/>
            </w:tcBorders>
          </w:tcPr>
          <w:p w14:paraId="2E803700" w14:textId="77777777" w:rsidR="005B1006" w:rsidRPr="00FB2578" w:rsidRDefault="005B1006" w:rsidP="00A250AE">
            <w:pPr>
              <w:spacing w:after="0" w:line="259" w:lineRule="auto"/>
              <w:ind w:left="0" w:firstLine="0"/>
              <w:rPr>
                <w:lang w:val="pt-PT"/>
              </w:rPr>
            </w:pPr>
            <w:r w:rsidRPr="00FB2578">
              <w:rPr>
                <w:i/>
                <w:lang w:val="pt-PT"/>
              </w:rPr>
              <w:t xml:space="preserve">Ciklosporīns, dronedarons, eritromicīns vai ketokonazols </w:t>
            </w:r>
          </w:p>
        </w:tc>
        <w:tc>
          <w:tcPr>
            <w:tcW w:w="0" w:type="auto"/>
            <w:vMerge/>
            <w:tcBorders>
              <w:top w:val="nil"/>
              <w:left w:val="single" w:sz="6" w:space="0" w:color="000000"/>
              <w:bottom w:val="single" w:sz="6" w:space="0" w:color="000000"/>
              <w:right w:val="single" w:sz="6" w:space="0" w:color="000000"/>
            </w:tcBorders>
          </w:tcPr>
          <w:p w14:paraId="07CAD18C" w14:textId="77777777" w:rsidR="005B1006" w:rsidRPr="00FB2578" w:rsidRDefault="005B1006" w:rsidP="00A250AE">
            <w:pPr>
              <w:spacing w:after="160" w:line="259" w:lineRule="auto"/>
              <w:ind w:left="0" w:firstLine="0"/>
              <w:rPr>
                <w:lang w:val="pt-PT"/>
              </w:rPr>
            </w:pPr>
          </w:p>
        </w:tc>
      </w:tr>
    </w:tbl>
    <w:p w14:paraId="3E87317E" w14:textId="77777777" w:rsidR="005B1006" w:rsidRPr="00FB2578" w:rsidRDefault="005B1006" w:rsidP="005B1006">
      <w:pPr>
        <w:spacing w:after="45" w:line="259" w:lineRule="auto"/>
        <w:ind w:firstLine="0"/>
        <w:rPr>
          <w:lang w:val="pt-PT"/>
        </w:rPr>
      </w:pPr>
      <w:r w:rsidRPr="00FB2578">
        <w:rPr>
          <w:lang w:val="pt-PT"/>
        </w:rPr>
        <w:t xml:space="preserve"> </w:t>
      </w:r>
    </w:p>
    <w:p w14:paraId="638292E0" w14:textId="77777777" w:rsidR="005B1006" w:rsidRPr="00FB2578" w:rsidRDefault="005B1006" w:rsidP="005B1006">
      <w:pPr>
        <w:pStyle w:val="Heading3"/>
        <w:ind w:left="-1"/>
        <w:rPr>
          <w:lang w:val="pt-PT"/>
        </w:rPr>
      </w:pPr>
      <w:r w:rsidRPr="00FB2578">
        <w:rPr>
          <w:lang w:val="pt-PT"/>
        </w:rPr>
        <w:t>Izlaista deva</w:t>
      </w:r>
      <w:r w:rsidRPr="00FB2578">
        <w:rPr>
          <w:i w:val="0"/>
          <w:lang w:val="pt-PT"/>
        </w:rPr>
        <w:t xml:space="preserve"> </w:t>
      </w:r>
    </w:p>
    <w:p w14:paraId="23498EFE" w14:textId="77777777" w:rsidR="005B1006" w:rsidRPr="00FB2578" w:rsidRDefault="005B1006" w:rsidP="005B1006">
      <w:pPr>
        <w:ind w:left="-10" w:right="8"/>
        <w:rPr>
          <w:lang w:val="pt-PT"/>
        </w:rPr>
      </w:pPr>
      <w:r w:rsidRPr="00FB2578">
        <w:rPr>
          <w:lang w:val="pt-PT"/>
        </w:rPr>
        <w:t xml:space="preserve">Ja edoksabāna devas lietošana tiek izlaista, deva jālieto nekavējoties un tad nākamajā dienā jāturpina lietot parastā zāļu deva vienu reizi dienā atbilstoši ieteikumiem. Pacients vienā dienā nedrīkst lietot dubultu parakstīto devu, lai aizstātu izlaisto devu. </w:t>
      </w:r>
    </w:p>
    <w:p w14:paraId="57FF642A" w14:textId="77777777" w:rsidR="005B1006" w:rsidRPr="00FB2578" w:rsidRDefault="005B1006" w:rsidP="005B1006">
      <w:pPr>
        <w:spacing w:after="32" w:line="259" w:lineRule="auto"/>
        <w:ind w:firstLine="0"/>
        <w:rPr>
          <w:lang w:val="pt-PT"/>
        </w:rPr>
      </w:pPr>
      <w:r w:rsidRPr="00FB2578">
        <w:rPr>
          <w:lang w:val="pt-PT"/>
        </w:rPr>
        <w:t xml:space="preserve"> </w:t>
      </w:r>
    </w:p>
    <w:p w14:paraId="7BB27A71" w14:textId="77777777" w:rsidR="005B1006" w:rsidRPr="00FB2578" w:rsidRDefault="005B1006" w:rsidP="005B1006">
      <w:pPr>
        <w:pStyle w:val="Heading3"/>
        <w:spacing w:after="0"/>
        <w:ind w:left="-1"/>
        <w:rPr>
          <w:lang w:val="pt-PT"/>
        </w:rPr>
      </w:pPr>
      <w:r w:rsidRPr="00FB2578">
        <w:rPr>
          <w:lang w:val="pt-PT"/>
        </w:rPr>
        <w:t xml:space="preserve">Lietoto zāļu maiņa uz edoksabānu un no edoksabāna </w:t>
      </w:r>
    </w:p>
    <w:p w14:paraId="0910436E" w14:textId="77777777" w:rsidR="005B1006" w:rsidRPr="00FB2578" w:rsidRDefault="005B1006" w:rsidP="005B1006">
      <w:pPr>
        <w:spacing w:after="31"/>
        <w:ind w:left="-10" w:right="8"/>
        <w:rPr>
          <w:lang w:val="pt-PT"/>
        </w:rPr>
      </w:pPr>
      <w:r w:rsidRPr="00FB2578">
        <w:rPr>
          <w:lang w:val="pt-PT"/>
        </w:rPr>
        <w:t xml:space="preserve">Pacientiem ar NVPM un VTE svarīga ir nepārtraukta antikoagulantu terapija. Iespējamas situācijas, kad attaisnojama antikoagulantu terapijas maiņa (2. tabula). </w:t>
      </w:r>
    </w:p>
    <w:p w14:paraId="4FF78889" w14:textId="77777777" w:rsidR="005B1006" w:rsidRPr="00FB2578" w:rsidRDefault="005B1006" w:rsidP="005B1006">
      <w:pPr>
        <w:spacing w:after="0" w:line="259" w:lineRule="auto"/>
        <w:ind w:firstLine="0"/>
        <w:rPr>
          <w:lang w:val="pt-PT"/>
        </w:rPr>
      </w:pPr>
      <w:r w:rsidRPr="00FB2578">
        <w:rPr>
          <w:lang w:val="pt-PT"/>
        </w:rPr>
        <w:t xml:space="preserve"> </w:t>
      </w:r>
    </w:p>
    <w:p w14:paraId="663DC4BC" w14:textId="77777777" w:rsidR="005B1006" w:rsidRPr="00FB2578" w:rsidRDefault="005B1006" w:rsidP="005B1006">
      <w:pPr>
        <w:pStyle w:val="Heading4"/>
        <w:ind w:left="0" w:right="0"/>
        <w:rPr>
          <w:lang w:val="pt-PT"/>
        </w:rPr>
      </w:pPr>
      <w:r w:rsidRPr="00FB2578">
        <w:rPr>
          <w:lang w:val="pt-PT"/>
        </w:rPr>
        <w:t xml:space="preserve">2. tabula. Antikoagulantu terapijas maiņa NVPM un VTE (DVT un PE) gadījumā </w:t>
      </w:r>
    </w:p>
    <w:tbl>
      <w:tblPr>
        <w:tblStyle w:val="TableGrid"/>
        <w:tblW w:w="8772" w:type="dxa"/>
        <w:tblInd w:w="83" w:type="dxa"/>
        <w:tblCellMar>
          <w:top w:w="56" w:type="dxa"/>
          <w:left w:w="57" w:type="dxa"/>
          <w:bottom w:w="0" w:type="dxa"/>
          <w:right w:w="16" w:type="dxa"/>
        </w:tblCellMar>
        <w:tblLook w:val="04A0" w:firstRow="1" w:lastRow="0" w:firstColumn="1" w:lastColumn="0" w:noHBand="0" w:noVBand="1"/>
      </w:tblPr>
      <w:tblGrid>
        <w:gridCol w:w="2737"/>
        <w:gridCol w:w="1757"/>
        <w:gridCol w:w="4278"/>
      </w:tblGrid>
      <w:tr w:rsidR="005B1006" w:rsidRPr="00FB2578" w14:paraId="31B32177" w14:textId="77777777" w:rsidTr="00A250AE">
        <w:trPr>
          <w:trHeight w:val="504"/>
        </w:trPr>
        <w:tc>
          <w:tcPr>
            <w:tcW w:w="877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6AB15FBF" w14:textId="77777777" w:rsidR="005B1006" w:rsidRPr="00FB2578" w:rsidRDefault="005B1006" w:rsidP="00A250AE">
            <w:pPr>
              <w:spacing w:after="0" w:line="259" w:lineRule="auto"/>
              <w:ind w:left="0" w:right="38" w:firstLine="0"/>
              <w:jc w:val="center"/>
              <w:rPr>
                <w:lang w:val="pt-PT"/>
              </w:rPr>
            </w:pPr>
            <w:r w:rsidRPr="00FB2578">
              <w:rPr>
                <w:b/>
                <w:lang w:val="pt-PT"/>
              </w:rPr>
              <w:t xml:space="preserve">Lietoto zāļu maiņa uz edoksabānu </w:t>
            </w:r>
          </w:p>
        </w:tc>
      </w:tr>
      <w:tr w:rsidR="005B1006" w14:paraId="2971AE71" w14:textId="77777777" w:rsidTr="00A250AE">
        <w:trPr>
          <w:trHeight w:val="390"/>
        </w:trPr>
        <w:tc>
          <w:tcPr>
            <w:tcW w:w="2737" w:type="dxa"/>
            <w:tcBorders>
              <w:top w:val="single" w:sz="6" w:space="0" w:color="000000"/>
              <w:left w:val="single" w:sz="6" w:space="0" w:color="000000"/>
              <w:bottom w:val="single" w:sz="6" w:space="0" w:color="000000"/>
              <w:right w:val="single" w:sz="6" w:space="0" w:color="000000"/>
            </w:tcBorders>
          </w:tcPr>
          <w:p w14:paraId="4017AE78" w14:textId="77777777" w:rsidR="005B1006" w:rsidRDefault="005B1006" w:rsidP="00A250AE">
            <w:pPr>
              <w:spacing w:after="0" w:line="259" w:lineRule="auto"/>
              <w:ind w:left="0" w:right="41" w:firstLine="0"/>
              <w:jc w:val="center"/>
            </w:pPr>
            <w:r>
              <w:rPr>
                <w:b/>
              </w:rPr>
              <w:t xml:space="preserve">No </w:t>
            </w:r>
          </w:p>
        </w:tc>
        <w:tc>
          <w:tcPr>
            <w:tcW w:w="1757" w:type="dxa"/>
            <w:tcBorders>
              <w:top w:val="single" w:sz="6" w:space="0" w:color="000000"/>
              <w:left w:val="single" w:sz="6" w:space="0" w:color="000000"/>
              <w:bottom w:val="single" w:sz="6" w:space="0" w:color="000000"/>
              <w:right w:val="single" w:sz="6" w:space="0" w:color="000000"/>
            </w:tcBorders>
          </w:tcPr>
          <w:p w14:paraId="678CFC12" w14:textId="77777777" w:rsidR="005B1006" w:rsidRDefault="005B1006" w:rsidP="00A250AE">
            <w:pPr>
              <w:spacing w:after="0" w:line="259" w:lineRule="auto"/>
              <w:ind w:left="0" w:right="41" w:firstLine="0"/>
              <w:jc w:val="center"/>
            </w:pPr>
            <w:r>
              <w:rPr>
                <w:b/>
              </w:rPr>
              <w:t xml:space="preserve">Uz </w:t>
            </w:r>
          </w:p>
        </w:tc>
        <w:tc>
          <w:tcPr>
            <w:tcW w:w="4279" w:type="dxa"/>
            <w:tcBorders>
              <w:top w:val="single" w:sz="6" w:space="0" w:color="000000"/>
              <w:left w:val="single" w:sz="6" w:space="0" w:color="000000"/>
              <w:bottom w:val="single" w:sz="6" w:space="0" w:color="000000"/>
              <w:right w:val="single" w:sz="6" w:space="0" w:color="000000"/>
            </w:tcBorders>
          </w:tcPr>
          <w:p w14:paraId="26AF2D82" w14:textId="77777777" w:rsidR="005B1006" w:rsidRDefault="005B1006" w:rsidP="00A250AE">
            <w:pPr>
              <w:spacing w:after="0" w:line="259" w:lineRule="auto"/>
              <w:ind w:left="0" w:right="41" w:firstLine="0"/>
              <w:jc w:val="center"/>
            </w:pPr>
            <w:r>
              <w:rPr>
                <w:b/>
              </w:rPr>
              <w:t xml:space="preserve">Ieteikums </w:t>
            </w:r>
          </w:p>
        </w:tc>
      </w:tr>
      <w:tr w:rsidR="005B1006" w14:paraId="36F0766C" w14:textId="77777777" w:rsidTr="00A250AE">
        <w:trPr>
          <w:trHeight w:val="1027"/>
        </w:trPr>
        <w:tc>
          <w:tcPr>
            <w:tcW w:w="2737" w:type="dxa"/>
            <w:tcBorders>
              <w:top w:val="single" w:sz="6" w:space="0" w:color="000000"/>
              <w:left w:val="single" w:sz="6" w:space="0" w:color="000000"/>
              <w:bottom w:val="single" w:sz="6" w:space="0" w:color="000000"/>
              <w:right w:val="single" w:sz="6" w:space="0" w:color="000000"/>
            </w:tcBorders>
            <w:vAlign w:val="center"/>
          </w:tcPr>
          <w:p w14:paraId="093DF334" w14:textId="77777777" w:rsidR="005B1006" w:rsidRDefault="005B1006" w:rsidP="00A250AE">
            <w:pPr>
              <w:spacing w:after="0" w:line="259" w:lineRule="auto"/>
              <w:ind w:left="0" w:firstLine="0"/>
              <w:jc w:val="center"/>
            </w:pPr>
            <w:r>
              <w:t xml:space="preserve">K vitamīna antagonists (KVA) </w:t>
            </w:r>
          </w:p>
        </w:tc>
        <w:tc>
          <w:tcPr>
            <w:tcW w:w="1757" w:type="dxa"/>
            <w:tcBorders>
              <w:top w:val="single" w:sz="6" w:space="0" w:color="000000"/>
              <w:left w:val="single" w:sz="6" w:space="0" w:color="000000"/>
              <w:bottom w:val="single" w:sz="6" w:space="0" w:color="000000"/>
              <w:right w:val="single" w:sz="6" w:space="0" w:color="000000"/>
            </w:tcBorders>
            <w:vAlign w:val="center"/>
          </w:tcPr>
          <w:p w14:paraId="28A7D6AD" w14:textId="77777777" w:rsidR="005B1006" w:rsidRDefault="005B1006" w:rsidP="00A250AE">
            <w:pPr>
              <w:spacing w:after="0" w:line="259" w:lineRule="auto"/>
              <w:ind w:left="0" w:right="41" w:firstLine="0"/>
              <w:jc w:val="center"/>
            </w:pPr>
            <w:r>
              <w:t xml:space="preserve">Edoksabāns </w:t>
            </w:r>
          </w:p>
        </w:tc>
        <w:tc>
          <w:tcPr>
            <w:tcW w:w="4279" w:type="dxa"/>
            <w:tcBorders>
              <w:top w:val="single" w:sz="6" w:space="0" w:color="000000"/>
              <w:left w:val="single" w:sz="6" w:space="0" w:color="000000"/>
              <w:bottom w:val="single" w:sz="6" w:space="0" w:color="000000"/>
              <w:right w:val="single" w:sz="6" w:space="0" w:color="000000"/>
            </w:tcBorders>
          </w:tcPr>
          <w:p w14:paraId="49E37AF2" w14:textId="77777777" w:rsidR="005B1006" w:rsidRDefault="005B1006" w:rsidP="00A250AE">
            <w:pPr>
              <w:spacing w:after="0" w:line="259" w:lineRule="auto"/>
              <w:ind w:left="1" w:firstLine="0"/>
            </w:pPr>
            <w:r>
              <w:t>KVA lietošanu pārtrauc un sāk lietot edoksabānu, kad starptautiskais standartizētais koeficients (</w:t>
            </w:r>
            <w:r>
              <w:rPr>
                <w:i/>
              </w:rPr>
              <w:t>international normalised ratio – INR</w:t>
            </w:r>
            <w:r>
              <w:t xml:space="preserve">) ir ≤2,5. </w:t>
            </w:r>
          </w:p>
        </w:tc>
      </w:tr>
      <w:tr w:rsidR="005B1006" w14:paraId="736555AB" w14:textId="77777777" w:rsidTr="00A250AE">
        <w:trPr>
          <w:trHeight w:val="1388"/>
        </w:trPr>
        <w:tc>
          <w:tcPr>
            <w:tcW w:w="2737" w:type="dxa"/>
            <w:tcBorders>
              <w:top w:val="single" w:sz="6" w:space="0" w:color="000000"/>
              <w:left w:val="single" w:sz="6" w:space="0" w:color="000000"/>
              <w:bottom w:val="single" w:sz="6" w:space="0" w:color="000000"/>
              <w:right w:val="single" w:sz="6" w:space="0" w:color="000000"/>
            </w:tcBorders>
          </w:tcPr>
          <w:p w14:paraId="41FBE546" w14:textId="77777777" w:rsidR="005B1006" w:rsidRDefault="005B1006" w:rsidP="00A250AE">
            <w:pPr>
              <w:spacing w:after="35" w:line="302" w:lineRule="auto"/>
              <w:ind w:left="0" w:firstLine="0"/>
            </w:pPr>
            <w:r>
              <w:t xml:space="preserve">Iekšķīgi lietojami antikoagulanti, izņemot KVA </w:t>
            </w:r>
          </w:p>
          <w:p w14:paraId="779798AD" w14:textId="77777777" w:rsidR="005B1006" w:rsidRDefault="005B1006" w:rsidP="00A250AE">
            <w:pPr>
              <w:numPr>
                <w:ilvl w:val="0"/>
                <w:numId w:val="20"/>
              </w:numPr>
              <w:spacing w:after="39" w:line="259" w:lineRule="auto"/>
              <w:ind w:hanging="364"/>
            </w:pPr>
            <w:r>
              <w:t xml:space="preserve">Dabigatrāns </w:t>
            </w:r>
          </w:p>
          <w:p w14:paraId="0DC9146B" w14:textId="77777777" w:rsidR="005B1006" w:rsidRDefault="005B1006" w:rsidP="00A250AE">
            <w:pPr>
              <w:numPr>
                <w:ilvl w:val="0"/>
                <w:numId w:val="20"/>
              </w:numPr>
              <w:spacing w:after="40" w:line="259" w:lineRule="auto"/>
              <w:ind w:hanging="364"/>
            </w:pPr>
            <w:r>
              <w:t xml:space="preserve">Rivaroksabāns </w:t>
            </w:r>
          </w:p>
          <w:p w14:paraId="7621122D" w14:textId="77777777" w:rsidR="005B1006" w:rsidRDefault="005B1006" w:rsidP="00A250AE">
            <w:pPr>
              <w:numPr>
                <w:ilvl w:val="0"/>
                <w:numId w:val="20"/>
              </w:numPr>
              <w:spacing w:after="0" w:line="259" w:lineRule="auto"/>
              <w:ind w:hanging="364"/>
            </w:pPr>
            <w:r>
              <w:t xml:space="preserve">Apiksabāns </w:t>
            </w:r>
          </w:p>
        </w:tc>
        <w:tc>
          <w:tcPr>
            <w:tcW w:w="1757" w:type="dxa"/>
            <w:tcBorders>
              <w:top w:val="single" w:sz="6" w:space="0" w:color="000000"/>
              <w:left w:val="single" w:sz="6" w:space="0" w:color="000000"/>
              <w:bottom w:val="single" w:sz="6" w:space="0" w:color="000000"/>
              <w:right w:val="single" w:sz="6" w:space="0" w:color="000000"/>
            </w:tcBorders>
            <w:vAlign w:val="center"/>
          </w:tcPr>
          <w:p w14:paraId="6DC34939" w14:textId="77777777" w:rsidR="005B1006" w:rsidRDefault="005B1006" w:rsidP="00A250AE">
            <w:pPr>
              <w:spacing w:after="0" w:line="259" w:lineRule="auto"/>
              <w:ind w:left="0" w:right="41" w:firstLine="0"/>
              <w:jc w:val="center"/>
            </w:pPr>
            <w:r>
              <w:t xml:space="preserve">Edoksabāns </w:t>
            </w:r>
          </w:p>
        </w:tc>
        <w:tc>
          <w:tcPr>
            <w:tcW w:w="4279" w:type="dxa"/>
            <w:tcBorders>
              <w:top w:val="single" w:sz="6" w:space="0" w:color="000000"/>
              <w:left w:val="single" w:sz="6" w:space="0" w:color="000000"/>
              <w:bottom w:val="single" w:sz="6" w:space="0" w:color="000000"/>
              <w:right w:val="single" w:sz="6" w:space="0" w:color="000000"/>
            </w:tcBorders>
          </w:tcPr>
          <w:p w14:paraId="77DCF9BA" w14:textId="77777777" w:rsidR="005B1006" w:rsidRDefault="005B1006" w:rsidP="00A250AE">
            <w:pPr>
              <w:spacing w:after="0" w:line="259" w:lineRule="auto"/>
              <w:ind w:left="1" w:right="424" w:firstLine="0"/>
            </w:pPr>
            <w:r>
              <w:t xml:space="preserve">Dabigatrāna, rivaroksabāna vai apiksbāna lietošanu pārtrauc un nākamās iekšķīgi lietojamā antikoagulanta devas paredzētajā laikā sāk lietot edoksabānu (skatīt 5.1. apakšpunktu). </w:t>
            </w:r>
          </w:p>
        </w:tc>
      </w:tr>
      <w:tr w:rsidR="005B1006" w14:paraId="2C7A2B95" w14:textId="77777777" w:rsidTr="00A250AE">
        <w:trPr>
          <w:trHeight w:val="2039"/>
        </w:trPr>
        <w:tc>
          <w:tcPr>
            <w:tcW w:w="2737" w:type="dxa"/>
            <w:vMerge w:val="restart"/>
            <w:tcBorders>
              <w:top w:val="single" w:sz="6" w:space="0" w:color="000000"/>
              <w:left w:val="single" w:sz="6" w:space="0" w:color="000000"/>
              <w:bottom w:val="single" w:sz="6" w:space="0" w:color="000000"/>
              <w:right w:val="single" w:sz="6" w:space="0" w:color="000000"/>
            </w:tcBorders>
            <w:vAlign w:val="center"/>
          </w:tcPr>
          <w:p w14:paraId="11948021" w14:textId="77777777" w:rsidR="005B1006" w:rsidRDefault="005B1006" w:rsidP="00A250AE">
            <w:pPr>
              <w:spacing w:after="0" w:line="259" w:lineRule="auto"/>
              <w:ind w:left="0" w:firstLine="0"/>
              <w:jc w:val="center"/>
            </w:pPr>
            <w:r>
              <w:t xml:space="preserve">Parenterāli ievadāmi antikoagulanti </w:t>
            </w:r>
          </w:p>
        </w:tc>
        <w:tc>
          <w:tcPr>
            <w:tcW w:w="1757" w:type="dxa"/>
            <w:vMerge w:val="restart"/>
            <w:tcBorders>
              <w:top w:val="single" w:sz="6" w:space="0" w:color="000000"/>
              <w:left w:val="single" w:sz="6" w:space="0" w:color="000000"/>
              <w:bottom w:val="single" w:sz="6" w:space="0" w:color="000000"/>
              <w:right w:val="single" w:sz="6" w:space="0" w:color="000000"/>
            </w:tcBorders>
            <w:vAlign w:val="center"/>
          </w:tcPr>
          <w:p w14:paraId="090420F9" w14:textId="77777777" w:rsidR="005B1006" w:rsidRDefault="005B1006" w:rsidP="00A250AE">
            <w:pPr>
              <w:spacing w:after="0" w:line="259" w:lineRule="auto"/>
              <w:ind w:left="0" w:right="41" w:firstLine="0"/>
              <w:jc w:val="center"/>
            </w:pPr>
            <w:r>
              <w:t xml:space="preserve">Edoksabāns </w:t>
            </w:r>
          </w:p>
        </w:tc>
        <w:tc>
          <w:tcPr>
            <w:tcW w:w="4279" w:type="dxa"/>
            <w:tcBorders>
              <w:top w:val="single" w:sz="6" w:space="0" w:color="000000"/>
              <w:left w:val="single" w:sz="6" w:space="0" w:color="000000"/>
              <w:bottom w:val="single" w:sz="6" w:space="0" w:color="000000"/>
              <w:right w:val="single" w:sz="6" w:space="0" w:color="000000"/>
            </w:tcBorders>
          </w:tcPr>
          <w:p w14:paraId="7E719FA9" w14:textId="77777777" w:rsidR="005B1006" w:rsidRDefault="005B1006" w:rsidP="00A250AE">
            <w:pPr>
              <w:spacing w:after="65" w:line="259" w:lineRule="auto"/>
              <w:ind w:left="1" w:firstLine="0"/>
            </w:pPr>
            <w:r>
              <w:t xml:space="preserve">Šīs zāles nedrīkst lietot vienlaikus. </w:t>
            </w:r>
          </w:p>
          <w:p w14:paraId="680700DE" w14:textId="77777777" w:rsidR="005B1006" w:rsidRDefault="005B1006" w:rsidP="00A250AE">
            <w:pPr>
              <w:spacing w:after="0" w:line="320" w:lineRule="auto"/>
              <w:ind w:left="1" w:firstLine="0"/>
            </w:pPr>
            <w:r>
              <w:t xml:space="preserve">Subkutāni ievadāms antikoagulants (t. i., mazmolekulārais heparīns (MMH), fondaparinukss): </w:t>
            </w:r>
          </w:p>
          <w:p w14:paraId="6FB922D5" w14:textId="77777777" w:rsidR="005B1006" w:rsidRDefault="005B1006" w:rsidP="00A250AE">
            <w:pPr>
              <w:spacing w:after="0" w:line="259" w:lineRule="auto"/>
              <w:ind w:left="1" w:firstLine="0"/>
            </w:pPr>
            <w:r>
              <w:t xml:space="preserve">Subkutāni ievadāmā antikoagulanta lietošanu pārtrauc un nākamās plānotās subkutāni ievadāmā antikoagulanta devas paredzētajā laikā sāk lietot edoksabānu. </w:t>
            </w:r>
          </w:p>
        </w:tc>
      </w:tr>
      <w:tr w:rsidR="005B1006" w14:paraId="53511B69" w14:textId="77777777" w:rsidTr="00A250AE">
        <w:trPr>
          <w:trHeight w:val="1025"/>
        </w:trPr>
        <w:tc>
          <w:tcPr>
            <w:tcW w:w="0" w:type="auto"/>
            <w:vMerge/>
            <w:tcBorders>
              <w:top w:val="nil"/>
              <w:left w:val="single" w:sz="6" w:space="0" w:color="000000"/>
              <w:bottom w:val="single" w:sz="6" w:space="0" w:color="000000"/>
              <w:right w:val="single" w:sz="6" w:space="0" w:color="000000"/>
            </w:tcBorders>
          </w:tcPr>
          <w:p w14:paraId="65E6C3AD" w14:textId="77777777" w:rsidR="005B1006" w:rsidRDefault="005B1006" w:rsidP="00A250AE">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0EDA7CD" w14:textId="77777777" w:rsidR="005B1006" w:rsidRDefault="005B1006" w:rsidP="00A250AE">
            <w:pPr>
              <w:spacing w:after="160" w:line="259" w:lineRule="auto"/>
              <w:ind w:left="0" w:firstLine="0"/>
            </w:pPr>
          </w:p>
        </w:tc>
        <w:tc>
          <w:tcPr>
            <w:tcW w:w="4279" w:type="dxa"/>
            <w:tcBorders>
              <w:top w:val="single" w:sz="6" w:space="0" w:color="000000"/>
              <w:left w:val="single" w:sz="6" w:space="0" w:color="000000"/>
              <w:bottom w:val="single" w:sz="6" w:space="0" w:color="000000"/>
              <w:right w:val="single" w:sz="6" w:space="0" w:color="000000"/>
            </w:tcBorders>
          </w:tcPr>
          <w:p w14:paraId="184B4927" w14:textId="77777777" w:rsidR="005B1006" w:rsidRDefault="005B1006" w:rsidP="00A250AE">
            <w:pPr>
              <w:spacing w:after="27" w:line="293" w:lineRule="auto"/>
              <w:ind w:left="1" w:firstLine="0"/>
            </w:pPr>
            <w:r>
              <w:t xml:space="preserve">Intravenozi ievadāms nefrakcionētais heparīns (NFH): </w:t>
            </w:r>
          </w:p>
          <w:p w14:paraId="1B42234E" w14:textId="77777777" w:rsidR="005B1006" w:rsidRDefault="005B1006" w:rsidP="00A250AE">
            <w:pPr>
              <w:spacing w:after="0" w:line="259" w:lineRule="auto"/>
              <w:ind w:left="1" w:firstLine="0"/>
            </w:pPr>
            <w:r>
              <w:t xml:space="preserve">Pārtrauc infūziju un pēc 4 stundām sāk lietot edoksabānu. </w:t>
            </w:r>
          </w:p>
        </w:tc>
      </w:tr>
    </w:tbl>
    <w:p w14:paraId="69956E33" w14:textId="77777777" w:rsidR="005B1006" w:rsidRDefault="005B1006" w:rsidP="005B1006">
      <w:pPr>
        <w:spacing w:after="0" w:line="259" w:lineRule="auto"/>
        <w:ind w:right="79" w:firstLine="0"/>
      </w:pPr>
      <w:r>
        <w:t xml:space="preserve"> </w:t>
      </w:r>
      <w:r>
        <w:br w:type="page"/>
      </w:r>
    </w:p>
    <w:p w14:paraId="24B17950" w14:textId="77777777" w:rsidR="005B1006" w:rsidRDefault="005B1006" w:rsidP="005B1006">
      <w:pPr>
        <w:spacing w:after="0" w:line="259" w:lineRule="auto"/>
        <w:ind w:left="-1556" w:right="78" w:firstLine="0"/>
      </w:pPr>
    </w:p>
    <w:tbl>
      <w:tblPr>
        <w:tblStyle w:val="TableGrid"/>
        <w:tblW w:w="8773" w:type="dxa"/>
        <w:tblInd w:w="83" w:type="dxa"/>
        <w:tblCellMar>
          <w:top w:w="56" w:type="dxa"/>
          <w:left w:w="58" w:type="dxa"/>
          <w:bottom w:w="0" w:type="dxa"/>
          <w:right w:w="5" w:type="dxa"/>
        </w:tblCellMar>
        <w:tblLook w:val="04A0" w:firstRow="1" w:lastRow="0" w:firstColumn="1" w:lastColumn="0" w:noHBand="0" w:noVBand="1"/>
      </w:tblPr>
      <w:tblGrid>
        <w:gridCol w:w="2325"/>
        <w:gridCol w:w="2064"/>
        <w:gridCol w:w="4384"/>
      </w:tblGrid>
      <w:tr w:rsidR="005B1006" w:rsidRPr="00FB2578" w14:paraId="3E5B9D76" w14:textId="77777777" w:rsidTr="00A250AE">
        <w:trPr>
          <w:trHeight w:val="504"/>
        </w:trPr>
        <w:tc>
          <w:tcPr>
            <w:tcW w:w="8773"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4787C349" w14:textId="77777777" w:rsidR="005B1006" w:rsidRPr="00FB2578" w:rsidRDefault="005B1006" w:rsidP="00A250AE">
            <w:pPr>
              <w:spacing w:after="0" w:line="259" w:lineRule="auto"/>
              <w:ind w:left="0" w:right="52" w:firstLine="0"/>
              <w:jc w:val="center"/>
              <w:rPr>
                <w:lang w:val="pt-PT"/>
              </w:rPr>
            </w:pPr>
            <w:r w:rsidRPr="00FB2578">
              <w:rPr>
                <w:b/>
                <w:lang w:val="pt-PT"/>
              </w:rPr>
              <w:t xml:space="preserve">Lietoto zāļu maiņa no edoksabāna </w:t>
            </w:r>
          </w:p>
        </w:tc>
      </w:tr>
      <w:tr w:rsidR="005B1006" w14:paraId="07E34FA0" w14:textId="77777777" w:rsidTr="00A250AE">
        <w:trPr>
          <w:trHeight w:val="391"/>
        </w:trPr>
        <w:tc>
          <w:tcPr>
            <w:tcW w:w="2325" w:type="dxa"/>
            <w:tcBorders>
              <w:top w:val="single" w:sz="6" w:space="0" w:color="000000"/>
              <w:left w:val="single" w:sz="6" w:space="0" w:color="000000"/>
              <w:bottom w:val="single" w:sz="6" w:space="0" w:color="000000"/>
              <w:right w:val="single" w:sz="6" w:space="0" w:color="000000"/>
            </w:tcBorders>
          </w:tcPr>
          <w:p w14:paraId="5BB49ED1" w14:textId="77777777" w:rsidR="005B1006" w:rsidRDefault="005B1006" w:rsidP="00A250AE">
            <w:pPr>
              <w:spacing w:after="0" w:line="259" w:lineRule="auto"/>
              <w:ind w:left="0" w:right="54" w:firstLine="0"/>
              <w:jc w:val="center"/>
            </w:pPr>
            <w:r>
              <w:rPr>
                <w:b/>
              </w:rPr>
              <w:t xml:space="preserve">No </w:t>
            </w:r>
          </w:p>
        </w:tc>
        <w:tc>
          <w:tcPr>
            <w:tcW w:w="2064" w:type="dxa"/>
            <w:tcBorders>
              <w:top w:val="single" w:sz="6" w:space="0" w:color="000000"/>
              <w:left w:val="single" w:sz="6" w:space="0" w:color="000000"/>
              <w:bottom w:val="single" w:sz="6" w:space="0" w:color="000000"/>
              <w:right w:val="single" w:sz="6" w:space="0" w:color="000000"/>
            </w:tcBorders>
          </w:tcPr>
          <w:p w14:paraId="3B3DA7CB" w14:textId="77777777" w:rsidR="005B1006" w:rsidRDefault="005B1006" w:rsidP="00A250AE">
            <w:pPr>
              <w:spacing w:after="0" w:line="259" w:lineRule="auto"/>
              <w:ind w:left="0" w:right="53" w:firstLine="0"/>
              <w:jc w:val="center"/>
            </w:pPr>
            <w:r>
              <w:rPr>
                <w:b/>
              </w:rPr>
              <w:t xml:space="preserve">Uz </w:t>
            </w:r>
          </w:p>
        </w:tc>
        <w:tc>
          <w:tcPr>
            <w:tcW w:w="4384" w:type="dxa"/>
            <w:tcBorders>
              <w:top w:val="single" w:sz="6" w:space="0" w:color="000000"/>
              <w:left w:val="single" w:sz="6" w:space="0" w:color="000000"/>
              <w:bottom w:val="single" w:sz="6" w:space="0" w:color="000000"/>
              <w:right w:val="single" w:sz="6" w:space="0" w:color="000000"/>
            </w:tcBorders>
          </w:tcPr>
          <w:p w14:paraId="475AF7DA" w14:textId="77777777" w:rsidR="005B1006" w:rsidRDefault="005B1006" w:rsidP="00A250AE">
            <w:pPr>
              <w:spacing w:after="0" w:line="259" w:lineRule="auto"/>
              <w:ind w:left="0" w:right="53" w:firstLine="0"/>
              <w:jc w:val="center"/>
            </w:pPr>
            <w:r>
              <w:rPr>
                <w:b/>
              </w:rPr>
              <w:t xml:space="preserve">Ieteikums </w:t>
            </w:r>
          </w:p>
        </w:tc>
      </w:tr>
      <w:tr w:rsidR="005B1006" w14:paraId="346ECF8A" w14:textId="77777777" w:rsidTr="00A250AE">
        <w:trPr>
          <w:trHeight w:val="12400"/>
        </w:trPr>
        <w:tc>
          <w:tcPr>
            <w:tcW w:w="2325" w:type="dxa"/>
            <w:tcBorders>
              <w:top w:val="single" w:sz="6" w:space="0" w:color="000000"/>
              <w:left w:val="single" w:sz="6" w:space="0" w:color="000000"/>
              <w:bottom w:val="single" w:sz="6" w:space="0" w:color="000000"/>
              <w:right w:val="single" w:sz="6" w:space="0" w:color="000000"/>
            </w:tcBorders>
            <w:vAlign w:val="center"/>
          </w:tcPr>
          <w:p w14:paraId="3672500B" w14:textId="77777777" w:rsidR="005B1006" w:rsidRDefault="005B1006" w:rsidP="00A250AE">
            <w:pPr>
              <w:spacing w:after="0" w:line="259" w:lineRule="auto"/>
              <w:ind w:left="0" w:right="53" w:firstLine="0"/>
              <w:jc w:val="center"/>
            </w:pPr>
            <w:r>
              <w:t xml:space="preserve">Edoksabāns </w:t>
            </w:r>
          </w:p>
        </w:tc>
        <w:tc>
          <w:tcPr>
            <w:tcW w:w="2064" w:type="dxa"/>
            <w:tcBorders>
              <w:top w:val="single" w:sz="6" w:space="0" w:color="000000"/>
              <w:left w:val="single" w:sz="6" w:space="0" w:color="000000"/>
              <w:bottom w:val="single" w:sz="6" w:space="0" w:color="000000"/>
              <w:right w:val="single" w:sz="6" w:space="0" w:color="000000"/>
            </w:tcBorders>
            <w:vAlign w:val="center"/>
          </w:tcPr>
          <w:p w14:paraId="5A758232" w14:textId="77777777" w:rsidR="005B1006" w:rsidRDefault="005B1006" w:rsidP="00A250AE">
            <w:pPr>
              <w:spacing w:after="0" w:line="259" w:lineRule="auto"/>
              <w:ind w:left="0" w:right="53" w:firstLine="0"/>
              <w:jc w:val="center"/>
            </w:pPr>
            <w:r>
              <w:t xml:space="preserve">KVA </w:t>
            </w:r>
          </w:p>
        </w:tc>
        <w:tc>
          <w:tcPr>
            <w:tcW w:w="4384" w:type="dxa"/>
            <w:tcBorders>
              <w:top w:val="single" w:sz="6" w:space="0" w:color="000000"/>
              <w:left w:val="single" w:sz="6" w:space="0" w:color="000000"/>
              <w:bottom w:val="single" w:sz="6" w:space="0" w:color="000000"/>
              <w:right w:val="single" w:sz="6" w:space="0" w:color="000000"/>
            </w:tcBorders>
          </w:tcPr>
          <w:p w14:paraId="6910ADF3" w14:textId="77777777" w:rsidR="005B1006" w:rsidRDefault="005B1006" w:rsidP="00A250AE">
            <w:pPr>
              <w:spacing w:after="3" w:line="255" w:lineRule="auto"/>
              <w:ind w:left="1" w:firstLine="0"/>
            </w:pPr>
            <w:r>
              <w:t xml:space="preserve">Laikā, kad pāriet no edoksabāna lietošanas uz KVA, antikoagulantu iedarbība var būt nepietiekama. Ik reizi, pārejot uz cita antikoagulanta lietošanu, jānodrošina nepārtraukta piemērota terapija ar antikoagulantiem. </w:t>
            </w:r>
          </w:p>
          <w:p w14:paraId="3FEE31CC" w14:textId="77777777" w:rsidR="005B1006" w:rsidRDefault="005B1006" w:rsidP="00A250AE">
            <w:pPr>
              <w:spacing w:after="45" w:line="259" w:lineRule="auto"/>
              <w:ind w:left="1" w:firstLine="0"/>
            </w:pPr>
            <w:r>
              <w:rPr>
                <w:i/>
              </w:rPr>
              <w:t xml:space="preserve"> </w:t>
            </w:r>
          </w:p>
          <w:p w14:paraId="2FF935E1" w14:textId="77777777" w:rsidR="005B1006" w:rsidRDefault="005B1006" w:rsidP="00A250AE">
            <w:pPr>
              <w:spacing w:after="0" w:line="318" w:lineRule="auto"/>
              <w:ind w:left="1" w:right="44" w:firstLine="0"/>
            </w:pPr>
            <w:r>
              <w:rPr>
                <w:i/>
              </w:rPr>
              <w:t>Iekšķīgas lietošanas izvēle.</w:t>
            </w:r>
            <w:r>
              <w:t xml:space="preserve"> Pacientiem, kas pašlaik lieto 60 mg devu, nozīmē edoksabāna 30 mg devu vienreiz dienā kopā ar piemērotu KVA devu. </w:t>
            </w:r>
          </w:p>
          <w:p w14:paraId="0694B941" w14:textId="77777777" w:rsidR="005B1006" w:rsidRDefault="005B1006" w:rsidP="00A250AE">
            <w:pPr>
              <w:spacing w:after="46" w:line="259" w:lineRule="auto"/>
              <w:ind w:left="1" w:firstLine="0"/>
            </w:pPr>
            <w:r>
              <w:t xml:space="preserve"> </w:t>
            </w:r>
          </w:p>
          <w:p w14:paraId="1293B527" w14:textId="77777777" w:rsidR="005B1006" w:rsidRDefault="005B1006" w:rsidP="00A250AE">
            <w:pPr>
              <w:spacing w:after="86" w:line="289" w:lineRule="auto"/>
              <w:ind w:left="1" w:firstLine="0"/>
            </w:pPr>
            <w:r>
              <w:t xml:space="preserve">Pacientiem, kas pašlaik lieto 30 mg devu (jo viņiem ir vismaz viens no šādiem klīniskajiem faktoriem: vidēji smagi vai smagi nieru darbības traucējumi (CrCl 15–50 ml/min), maza ķermeņa masa vai zāles lieto kopā ar noteiktiem P-gp inhibitoriem), nozīmē edoksabāna devu 15 mg vienreiz dienā kopā ar piemērotu KVA devu. </w:t>
            </w:r>
          </w:p>
          <w:p w14:paraId="47995808" w14:textId="77777777" w:rsidR="005B1006" w:rsidRDefault="005B1006" w:rsidP="00A250AE">
            <w:pPr>
              <w:spacing w:after="148" w:line="291" w:lineRule="auto"/>
              <w:ind w:left="0" w:right="104" w:firstLine="0"/>
            </w:pPr>
            <w:r>
              <w:t xml:space="preserve">Pacientiem nav jālieto KVA piesātinošā deva ar mērķi ātri sasniegt stabilu </w:t>
            </w:r>
            <w:r>
              <w:rPr>
                <w:i/>
              </w:rPr>
              <w:t>INR</w:t>
            </w:r>
            <w:r>
              <w:t xml:space="preserve"> no 2 līdz 3. Ir ieteicams ņemt vērā KVA uzturošo devu un to, vai pacients iepriekš lietoja kādu KVA, vai izmantot spēkā esošo KVA terapijas algoritmu, kas orientēts uz </w:t>
            </w:r>
            <w:r>
              <w:rPr>
                <w:i/>
              </w:rPr>
              <w:t>INR,</w:t>
            </w:r>
            <w:r>
              <w:t xml:space="preserve"> saskaņā ar vietējo praksi. Tiklīdz sasniegts </w:t>
            </w:r>
            <w:r>
              <w:rPr>
                <w:i/>
              </w:rPr>
              <w:t>INR</w:t>
            </w:r>
            <w:r>
              <w:t xml:space="preserve"> ≥ 2,0, edoksabāna lietošana jāpārtrauc. Lielākajai daļai pacientu (85%) </w:t>
            </w:r>
            <w:r>
              <w:rPr>
                <w:i/>
              </w:rPr>
              <w:t>INR</w:t>
            </w:r>
            <w:r>
              <w:t xml:space="preserve"> ≥ 2,0 jāspēj sasniegt 14 dienās, vienlaicīgi lietojot edoksabānu un KVA. Pēc 14 dienām edoksabāna lietošanu ieteicams pārtraukt un turpināt KVA titrēšanu, līdz sasniegts </w:t>
            </w:r>
            <w:r>
              <w:rPr>
                <w:i/>
              </w:rPr>
              <w:t>INR</w:t>
            </w:r>
            <w:r>
              <w:t xml:space="preserve"> starp 2 un 3. </w:t>
            </w:r>
          </w:p>
          <w:p w14:paraId="60D313F4" w14:textId="77777777" w:rsidR="005B1006" w:rsidRDefault="005B1006" w:rsidP="00A250AE">
            <w:pPr>
              <w:spacing w:after="55" w:line="318" w:lineRule="auto"/>
              <w:ind w:left="0" w:firstLine="0"/>
            </w:pPr>
            <w:r>
              <w:t xml:space="preserve">Ir ieteicams, ka pirmajās 14 vienlaicīgas terapijas dienās </w:t>
            </w:r>
            <w:r>
              <w:rPr>
                <w:i/>
              </w:rPr>
              <w:t>INR</w:t>
            </w:r>
            <w:r>
              <w:t xml:space="preserve"> tiek mērīts vismaz 3 reizes tieši pirms edoksabāna dienas devas lietošanas, lai mazinātu edoksabāna ietekmi uz </w:t>
            </w:r>
            <w:r>
              <w:rPr>
                <w:i/>
              </w:rPr>
              <w:t>INR</w:t>
            </w:r>
            <w:r>
              <w:t xml:space="preserve"> mērījumiem. Edoksabāna un KVA vienlaicīga lietošana pēc edoksabāna devas var </w:t>
            </w:r>
            <w:r>
              <w:rPr>
                <w:i/>
              </w:rPr>
              <w:t>INR</w:t>
            </w:r>
            <w:r>
              <w:t xml:space="preserve"> palielināt par 46%. </w:t>
            </w:r>
          </w:p>
          <w:p w14:paraId="1CB16ACF" w14:textId="77777777" w:rsidR="005B1006" w:rsidRDefault="005B1006" w:rsidP="00A250AE">
            <w:pPr>
              <w:spacing w:after="61" w:line="259" w:lineRule="auto"/>
              <w:ind w:left="1" w:firstLine="0"/>
            </w:pPr>
            <w:r>
              <w:t xml:space="preserve"> </w:t>
            </w:r>
          </w:p>
          <w:p w14:paraId="5D5B41A4" w14:textId="77777777" w:rsidR="005B1006" w:rsidRDefault="005B1006" w:rsidP="00A250AE">
            <w:pPr>
              <w:spacing w:after="25" w:line="274" w:lineRule="auto"/>
              <w:ind w:left="1" w:firstLine="0"/>
            </w:pPr>
            <w:r>
              <w:rPr>
                <w:i/>
              </w:rPr>
              <w:t>Parenterālas lietošanas izvēle.</w:t>
            </w:r>
            <w:r>
              <w:t xml:space="preserve"> Pārtrauc lietot edoksabānu un nākamās paredzētās edoksabāna devas laikā nozīmē parenterāli ievadāmu antikoagulantu un KVA. Kad sasniegts stabils </w:t>
            </w:r>
            <w:r>
              <w:rPr>
                <w:i/>
              </w:rPr>
              <w:t>INR</w:t>
            </w:r>
            <w:r>
              <w:t xml:space="preserve"> ≥ 2,0, jāpārtrauc lietot parenterāli ievadāmais antikoagulants un jāturpina lietot </w:t>
            </w:r>
          </w:p>
          <w:p w14:paraId="10F2247F" w14:textId="77777777" w:rsidR="005B1006" w:rsidRDefault="005B1006" w:rsidP="00A250AE">
            <w:pPr>
              <w:spacing w:after="0" w:line="259" w:lineRule="auto"/>
              <w:ind w:left="1" w:firstLine="0"/>
            </w:pPr>
            <w:r>
              <w:t xml:space="preserve">KVA. </w:t>
            </w:r>
          </w:p>
        </w:tc>
      </w:tr>
      <w:tr w:rsidR="005B1006" w14:paraId="77D32180" w14:textId="77777777" w:rsidTr="00A250AE">
        <w:trPr>
          <w:trHeight w:val="772"/>
        </w:trPr>
        <w:tc>
          <w:tcPr>
            <w:tcW w:w="2325" w:type="dxa"/>
            <w:tcBorders>
              <w:top w:val="single" w:sz="6" w:space="0" w:color="000000"/>
              <w:left w:val="single" w:sz="6" w:space="0" w:color="000000"/>
              <w:bottom w:val="single" w:sz="6" w:space="0" w:color="000000"/>
              <w:right w:val="single" w:sz="6" w:space="0" w:color="000000"/>
            </w:tcBorders>
            <w:vAlign w:val="center"/>
          </w:tcPr>
          <w:p w14:paraId="1A1CABD7" w14:textId="77777777" w:rsidR="005B1006" w:rsidRDefault="005B1006" w:rsidP="00A250AE">
            <w:pPr>
              <w:spacing w:after="0" w:line="259" w:lineRule="auto"/>
              <w:ind w:left="0" w:right="53" w:firstLine="0"/>
              <w:jc w:val="center"/>
            </w:pPr>
            <w:r>
              <w:t xml:space="preserve">Edoksabāns </w:t>
            </w:r>
          </w:p>
        </w:tc>
        <w:tc>
          <w:tcPr>
            <w:tcW w:w="2064" w:type="dxa"/>
            <w:tcBorders>
              <w:top w:val="single" w:sz="6" w:space="0" w:color="000000"/>
              <w:left w:val="single" w:sz="6" w:space="0" w:color="000000"/>
              <w:bottom w:val="single" w:sz="6" w:space="0" w:color="000000"/>
              <w:right w:val="single" w:sz="6" w:space="0" w:color="000000"/>
            </w:tcBorders>
          </w:tcPr>
          <w:p w14:paraId="58F90E40" w14:textId="77777777" w:rsidR="005B1006" w:rsidRDefault="005B1006" w:rsidP="00A250AE">
            <w:pPr>
              <w:spacing w:after="0" w:line="259" w:lineRule="auto"/>
              <w:ind w:left="10" w:hanging="10"/>
              <w:jc w:val="center"/>
            </w:pPr>
            <w:r>
              <w:t xml:space="preserve">Iekšķīgi lietojami antikoagulanti, izņemot KVA </w:t>
            </w:r>
          </w:p>
        </w:tc>
        <w:tc>
          <w:tcPr>
            <w:tcW w:w="4384" w:type="dxa"/>
            <w:tcBorders>
              <w:top w:val="single" w:sz="6" w:space="0" w:color="000000"/>
              <w:left w:val="single" w:sz="6" w:space="0" w:color="000000"/>
              <w:bottom w:val="single" w:sz="6" w:space="0" w:color="000000"/>
              <w:right w:val="single" w:sz="6" w:space="0" w:color="000000"/>
            </w:tcBorders>
          </w:tcPr>
          <w:p w14:paraId="65A4A176" w14:textId="77777777" w:rsidR="005B1006" w:rsidRDefault="005B1006" w:rsidP="00A250AE">
            <w:pPr>
              <w:spacing w:after="0" w:line="259" w:lineRule="auto"/>
              <w:ind w:left="1" w:firstLine="0"/>
            </w:pPr>
            <w:r>
              <w:t xml:space="preserve">Pārtrauc lietot edoksabānu un nākamās paredzētās edoksabāna devas laikā sāk lietot neKVA antikoagulantu. </w:t>
            </w:r>
          </w:p>
        </w:tc>
      </w:tr>
      <w:tr w:rsidR="005B1006" w:rsidRPr="00FB2578" w14:paraId="018BDB50" w14:textId="77777777" w:rsidTr="00A250AE">
        <w:trPr>
          <w:trHeight w:val="504"/>
        </w:trPr>
        <w:tc>
          <w:tcPr>
            <w:tcW w:w="2325" w:type="dxa"/>
            <w:tcBorders>
              <w:top w:val="single" w:sz="6" w:space="0" w:color="000000"/>
              <w:left w:val="single" w:sz="6" w:space="0" w:color="000000"/>
              <w:bottom w:val="single" w:sz="6" w:space="0" w:color="000000"/>
              <w:right w:val="nil"/>
            </w:tcBorders>
            <w:shd w:val="clear" w:color="auto" w:fill="D9D9D9"/>
          </w:tcPr>
          <w:p w14:paraId="79B93271" w14:textId="77777777" w:rsidR="005B1006" w:rsidRDefault="005B1006" w:rsidP="00A250AE">
            <w:pPr>
              <w:spacing w:after="160" w:line="259" w:lineRule="auto"/>
              <w:ind w:left="0" w:firstLine="0"/>
            </w:pPr>
          </w:p>
        </w:tc>
        <w:tc>
          <w:tcPr>
            <w:tcW w:w="6448" w:type="dxa"/>
            <w:gridSpan w:val="2"/>
            <w:tcBorders>
              <w:top w:val="single" w:sz="6" w:space="0" w:color="000000"/>
              <w:left w:val="nil"/>
              <w:bottom w:val="single" w:sz="6" w:space="0" w:color="000000"/>
              <w:right w:val="single" w:sz="6" w:space="0" w:color="000000"/>
            </w:tcBorders>
            <w:shd w:val="clear" w:color="auto" w:fill="D9D9D9"/>
            <w:vAlign w:val="center"/>
          </w:tcPr>
          <w:p w14:paraId="50D11E7F" w14:textId="77777777" w:rsidR="005B1006" w:rsidRPr="00FB2578" w:rsidRDefault="005B1006" w:rsidP="00A250AE">
            <w:pPr>
              <w:spacing w:after="0" w:line="259" w:lineRule="auto"/>
              <w:ind w:left="395" w:firstLine="0"/>
              <w:rPr>
                <w:lang w:val="pt-PT"/>
              </w:rPr>
            </w:pPr>
            <w:r w:rsidRPr="00FB2578">
              <w:rPr>
                <w:b/>
                <w:lang w:val="pt-PT"/>
              </w:rPr>
              <w:t xml:space="preserve">Lietoto zāļu maiņa no edoksabāna </w:t>
            </w:r>
          </w:p>
        </w:tc>
      </w:tr>
      <w:tr w:rsidR="005B1006" w14:paraId="3CFEC108" w14:textId="77777777" w:rsidTr="00A250AE">
        <w:trPr>
          <w:trHeight w:val="1030"/>
        </w:trPr>
        <w:tc>
          <w:tcPr>
            <w:tcW w:w="2325" w:type="dxa"/>
            <w:tcBorders>
              <w:top w:val="single" w:sz="6" w:space="0" w:color="000000"/>
              <w:left w:val="single" w:sz="6" w:space="0" w:color="000000"/>
              <w:bottom w:val="single" w:sz="6" w:space="0" w:color="000000"/>
              <w:right w:val="single" w:sz="6" w:space="0" w:color="000000"/>
            </w:tcBorders>
            <w:vAlign w:val="center"/>
          </w:tcPr>
          <w:p w14:paraId="6D693220" w14:textId="77777777" w:rsidR="005B1006" w:rsidRDefault="005B1006" w:rsidP="00A250AE">
            <w:pPr>
              <w:spacing w:after="0" w:line="259" w:lineRule="auto"/>
              <w:ind w:left="11" w:firstLine="0"/>
              <w:jc w:val="center"/>
            </w:pPr>
            <w:r>
              <w:t xml:space="preserve">Edoksabāns </w:t>
            </w:r>
          </w:p>
        </w:tc>
        <w:tc>
          <w:tcPr>
            <w:tcW w:w="2064" w:type="dxa"/>
            <w:tcBorders>
              <w:top w:val="single" w:sz="6" w:space="0" w:color="000000"/>
              <w:left w:val="single" w:sz="6" w:space="0" w:color="000000"/>
              <w:bottom w:val="single" w:sz="6" w:space="0" w:color="000000"/>
              <w:right w:val="single" w:sz="6" w:space="0" w:color="000000"/>
            </w:tcBorders>
            <w:vAlign w:val="center"/>
          </w:tcPr>
          <w:p w14:paraId="77B4D9F4" w14:textId="77777777" w:rsidR="005B1006" w:rsidRDefault="005B1006" w:rsidP="00A250AE">
            <w:pPr>
              <w:spacing w:after="0" w:line="259" w:lineRule="auto"/>
              <w:ind w:left="0" w:firstLine="0"/>
              <w:jc w:val="center"/>
            </w:pPr>
            <w:r>
              <w:t xml:space="preserve">Parenterāli ievadāmi antikoagulanti </w:t>
            </w:r>
          </w:p>
        </w:tc>
        <w:tc>
          <w:tcPr>
            <w:tcW w:w="4384" w:type="dxa"/>
            <w:tcBorders>
              <w:top w:val="single" w:sz="6" w:space="0" w:color="000000"/>
              <w:left w:val="single" w:sz="6" w:space="0" w:color="000000"/>
              <w:bottom w:val="single" w:sz="6" w:space="0" w:color="000000"/>
              <w:right w:val="single" w:sz="6" w:space="0" w:color="000000"/>
            </w:tcBorders>
          </w:tcPr>
          <w:p w14:paraId="701A5368" w14:textId="77777777" w:rsidR="005B1006" w:rsidRDefault="005B1006" w:rsidP="00A250AE">
            <w:pPr>
              <w:spacing w:after="0" w:line="259" w:lineRule="auto"/>
              <w:ind w:left="0" w:firstLine="0"/>
            </w:pPr>
            <w:r>
              <w:t>Šīs zāles nedrīkst lietot vienlaikus.</w:t>
            </w:r>
            <w:r>
              <w:rPr>
                <w:i/>
              </w:rPr>
              <w:t xml:space="preserve"> </w:t>
            </w:r>
            <w:r>
              <w:t xml:space="preserve">Pārtrauc lietot edoksabānu un nākamās paredzētās edoksabāna devas laikā sāk lietot parenterāli ievadāmu antikoagulantu. </w:t>
            </w:r>
          </w:p>
        </w:tc>
      </w:tr>
    </w:tbl>
    <w:p w14:paraId="14401A50" w14:textId="77777777" w:rsidR="005B1006" w:rsidRDefault="005B1006" w:rsidP="005B1006">
      <w:pPr>
        <w:spacing w:after="48" w:line="259" w:lineRule="auto"/>
        <w:ind w:right="78" w:firstLine="0"/>
      </w:pPr>
      <w:r>
        <w:rPr>
          <w:i/>
        </w:rPr>
        <w:t xml:space="preserve"> </w:t>
      </w:r>
    </w:p>
    <w:p w14:paraId="7A3E30B2" w14:textId="77777777" w:rsidR="005B1006" w:rsidRPr="00FB2578" w:rsidRDefault="005B1006" w:rsidP="005B1006">
      <w:pPr>
        <w:spacing w:after="66" w:line="259" w:lineRule="auto"/>
        <w:ind w:left="-1" w:hanging="10"/>
        <w:rPr>
          <w:lang w:val="pt-PT"/>
        </w:rPr>
      </w:pPr>
      <w:r w:rsidRPr="00FB2578">
        <w:rPr>
          <w:i/>
          <w:u w:val="single" w:color="000000"/>
          <w:lang w:val="pt-PT"/>
        </w:rPr>
        <w:t>Īpašas pacientu grupas</w:t>
      </w:r>
      <w:r w:rsidRPr="00FB2578">
        <w:rPr>
          <w:i/>
          <w:lang w:val="pt-PT"/>
        </w:rPr>
        <w:t xml:space="preserve"> </w:t>
      </w:r>
    </w:p>
    <w:p w14:paraId="3EDF215D" w14:textId="77777777" w:rsidR="005B1006" w:rsidRPr="00FB2578" w:rsidRDefault="005B1006" w:rsidP="005B1006">
      <w:pPr>
        <w:spacing w:after="62" w:line="259" w:lineRule="auto"/>
        <w:ind w:left="-1" w:hanging="10"/>
        <w:rPr>
          <w:lang w:val="pt-PT"/>
        </w:rPr>
      </w:pPr>
      <w:r w:rsidRPr="00FB2578">
        <w:rPr>
          <w:i/>
          <w:lang w:val="pt-PT"/>
        </w:rPr>
        <w:t xml:space="preserve">Gados vecāki cilvēki </w:t>
      </w:r>
    </w:p>
    <w:p w14:paraId="110FBAA4" w14:textId="77777777" w:rsidR="005B1006" w:rsidRPr="00FB2578" w:rsidRDefault="005B1006" w:rsidP="005B1006">
      <w:pPr>
        <w:ind w:left="-10" w:right="8"/>
        <w:rPr>
          <w:lang w:val="pt-PT"/>
        </w:rPr>
      </w:pPr>
      <w:r w:rsidRPr="00FB2578">
        <w:rPr>
          <w:lang w:val="pt-PT"/>
        </w:rPr>
        <w:t xml:space="preserve">Deva nav jāsamazina (skatīt 5.2. apakšpunktu). </w:t>
      </w:r>
    </w:p>
    <w:p w14:paraId="2377CE7E" w14:textId="77777777" w:rsidR="005B1006" w:rsidRPr="00FB2578" w:rsidRDefault="005B1006" w:rsidP="005B1006">
      <w:pPr>
        <w:spacing w:after="50" w:line="259" w:lineRule="auto"/>
        <w:ind w:firstLine="0"/>
        <w:rPr>
          <w:lang w:val="pt-PT"/>
        </w:rPr>
      </w:pPr>
      <w:r w:rsidRPr="00FB2578">
        <w:rPr>
          <w:lang w:val="pt-PT"/>
        </w:rPr>
        <w:t xml:space="preserve"> </w:t>
      </w:r>
    </w:p>
    <w:p w14:paraId="463971FE" w14:textId="77777777" w:rsidR="005B1006" w:rsidRPr="00FB2578" w:rsidRDefault="005B1006" w:rsidP="005B1006">
      <w:pPr>
        <w:pStyle w:val="Heading3"/>
        <w:ind w:left="-1"/>
        <w:rPr>
          <w:lang w:val="pt-PT"/>
        </w:rPr>
      </w:pPr>
      <w:r w:rsidRPr="00FB2578">
        <w:rPr>
          <w:lang w:val="pt-PT"/>
        </w:rPr>
        <w:t xml:space="preserve">Nieru darbības traucējumi </w:t>
      </w:r>
    </w:p>
    <w:p w14:paraId="24D6FC49" w14:textId="77777777" w:rsidR="005B1006" w:rsidRPr="00FB2578" w:rsidRDefault="005B1006" w:rsidP="005B1006">
      <w:pPr>
        <w:spacing w:after="46"/>
        <w:ind w:left="-10" w:right="8"/>
        <w:rPr>
          <w:lang w:val="pt-PT"/>
        </w:rPr>
      </w:pPr>
      <w:r w:rsidRPr="00FB2578">
        <w:rPr>
          <w:lang w:val="pt-PT"/>
        </w:rPr>
        <w:t xml:space="preserve">Pirms edoksabāna terapijas uzsākšanas visiem pacientiem ir jānovērtē nieru darbība, aprēķinot CrCl, lai izslēgtu pacientus ar nieru slimību terminālā stadijā (t. i., CrCl &lt; 15 ml/min), lai lietotu pareizu edoksabāna devu pacientiem ar CrCl 15–50 ml/min (30 mg reizi dienā) un CrCl &gt; 50 ml/min (60 mg reizi dienā), kā arī lai izlemtu par edoksabāna lietošanu pacientiem ar paaugstinātu CrCl (skatīt </w:t>
      </w:r>
    </w:p>
    <w:p w14:paraId="66993C48" w14:textId="77777777" w:rsidR="005B1006" w:rsidRPr="00FB2578" w:rsidRDefault="005B1006" w:rsidP="005B1006">
      <w:pPr>
        <w:ind w:left="-10" w:right="8"/>
        <w:rPr>
          <w:lang w:val="pt-PT"/>
        </w:rPr>
      </w:pPr>
      <w:r w:rsidRPr="00FB2578">
        <w:rPr>
          <w:lang w:val="pt-PT"/>
        </w:rPr>
        <w:t xml:space="preserve">4.4. apakšpunktu). </w:t>
      </w:r>
    </w:p>
    <w:p w14:paraId="1FAA861A" w14:textId="77777777" w:rsidR="005B1006" w:rsidRPr="00FB2578" w:rsidRDefault="005B1006" w:rsidP="005B1006">
      <w:pPr>
        <w:spacing w:after="46" w:line="259" w:lineRule="auto"/>
        <w:ind w:left="3" w:firstLine="0"/>
        <w:rPr>
          <w:lang w:val="pt-PT"/>
        </w:rPr>
      </w:pPr>
      <w:r w:rsidRPr="00FB2578">
        <w:rPr>
          <w:lang w:val="pt-PT"/>
        </w:rPr>
        <w:t xml:space="preserve"> </w:t>
      </w:r>
    </w:p>
    <w:p w14:paraId="6BE75528" w14:textId="77777777" w:rsidR="005B1006" w:rsidRPr="00FB2578" w:rsidRDefault="005B1006" w:rsidP="005B1006">
      <w:pPr>
        <w:spacing w:line="322" w:lineRule="auto"/>
        <w:ind w:left="-10" w:right="8"/>
        <w:rPr>
          <w:lang w:val="pt-PT"/>
        </w:rPr>
      </w:pPr>
      <w:r w:rsidRPr="00FB2578">
        <w:rPr>
          <w:lang w:val="pt-PT"/>
        </w:rPr>
        <w:t xml:space="preserve">Nieru darbība ir jānovērtē arī, ja terapijas laikā rodas aizdomas par izmaiņām nieru darbībā (t. i., hipovolēmija, dehidratācija, kā arī gadījumā, ja vienlaicīgi lieto noteiktas zāles). </w:t>
      </w:r>
    </w:p>
    <w:p w14:paraId="24BAC4D6" w14:textId="77777777" w:rsidR="005B1006" w:rsidRPr="00FB2578" w:rsidRDefault="005B1006" w:rsidP="005B1006">
      <w:pPr>
        <w:spacing w:after="46" w:line="259" w:lineRule="auto"/>
        <w:ind w:left="3" w:firstLine="0"/>
        <w:rPr>
          <w:lang w:val="pt-PT"/>
        </w:rPr>
      </w:pPr>
      <w:r w:rsidRPr="00FB2578">
        <w:rPr>
          <w:lang w:val="pt-PT"/>
        </w:rPr>
        <w:t xml:space="preserve"> </w:t>
      </w:r>
    </w:p>
    <w:p w14:paraId="2C1E0F66" w14:textId="77777777" w:rsidR="005B1006" w:rsidRDefault="005B1006" w:rsidP="005B1006">
      <w:pPr>
        <w:spacing w:after="44"/>
        <w:ind w:left="-10" w:right="8"/>
      </w:pPr>
      <w:r w:rsidRPr="00FB2578">
        <w:rPr>
          <w:lang w:val="pt-PT"/>
        </w:rPr>
        <w:t>Nieru darbības (CrCl ml/min) novērtēšanai izmantotā metode edoksabāna klīniskās izstrādes laikā bija Kokrofta-Golta (</w:t>
      </w:r>
      <w:r w:rsidRPr="00FB2578">
        <w:rPr>
          <w:i/>
          <w:lang w:val="pt-PT"/>
        </w:rPr>
        <w:t>Cockcroft-Gault</w:t>
      </w:r>
      <w:r w:rsidRPr="00FB2578">
        <w:rPr>
          <w:lang w:val="pt-PT"/>
        </w:rPr>
        <w:t xml:space="preserve"> metode). </w:t>
      </w:r>
      <w:r>
        <w:t xml:space="preserve">Formula ir šāda: </w:t>
      </w:r>
    </w:p>
    <w:p w14:paraId="184184BD" w14:textId="77777777" w:rsidR="005B1006" w:rsidRDefault="005B1006" w:rsidP="005B1006">
      <w:pPr>
        <w:spacing w:after="39" w:line="259" w:lineRule="auto"/>
        <w:ind w:left="3" w:firstLine="0"/>
      </w:pPr>
      <w:r>
        <w:t xml:space="preserve"> </w:t>
      </w:r>
    </w:p>
    <w:p w14:paraId="248E017B" w14:textId="77777777" w:rsidR="005B1006" w:rsidRDefault="005B1006" w:rsidP="005B1006">
      <w:pPr>
        <w:numPr>
          <w:ilvl w:val="0"/>
          <w:numId w:val="2"/>
        </w:numPr>
        <w:ind w:right="8" w:hanging="398"/>
      </w:pPr>
      <w:r>
        <w:t xml:space="preserve">kreatinīnam µmol/l: </w:t>
      </w:r>
    </w:p>
    <w:p w14:paraId="76DB95B6" w14:textId="77777777" w:rsidR="005B1006" w:rsidRDefault="005B1006" w:rsidP="005B1006">
      <w:pPr>
        <w:spacing w:after="52" w:line="259" w:lineRule="auto"/>
        <w:ind w:left="2698" w:right="1250" w:hanging="1277"/>
      </w:pPr>
      <w:r>
        <w:rPr>
          <w:u w:val="single" w:color="000000"/>
        </w:rPr>
        <w:t>1,23 × (140-vecums [gados]) × masa [kg] (× 0,85 sievietēm)</w:t>
      </w:r>
      <w:r>
        <w:t xml:space="preserve"> kreatinīna līmenis serumā [µmol/l] </w:t>
      </w:r>
    </w:p>
    <w:p w14:paraId="610B52A3" w14:textId="77777777" w:rsidR="005B1006" w:rsidRDefault="005B1006" w:rsidP="005B1006">
      <w:pPr>
        <w:spacing w:after="62" w:line="259" w:lineRule="auto"/>
        <w:ind w:firstLine="0"/>
      </w:pPr>
      <w:r>
        <w:t xml:space="preserve"> </w:t>
      </w:r>
    </w:p>
    <w:p w14:paraId="0A6E2A3C" w14:textId="77777777" w:rsidR="005B1006" w:rsidRDefault="005B1006" w:rsidP="005B1006">
      <w:pPr>
        <w:numPr>
          <w:ilvl w:val="0"/>
          <w:numId w:val="2"/>
        </w:numPr>
        <w:spacing w:after="129"/>
        <w:ind w:right="8" w:hanging="398"/>
      </w:pPr>
      <w:r>
        <w:t xml:space="preserve">kreatinīnam mg/dl: </w:t>
      </w:r>
    </w:p>
    <w:p w14:paraId="3F56EC4E" w14:textId="77777777" w:rsidR="005B1006" w:rsidRPr="00FB2578" w:rsidRDefault="005B1006" w:rsidP="005B1006">
      <w:pPr>
        <w:pStyle w:val="Heading2"/>
        <w:spacing w:after="60"/>
        <w:ind w:left="1432"/>
        <w:rPr>
          <w:lang w:val="pt-PT"/>
        </w:rPr>
      </w:pPr>
      <w:r w:rsidRPr="00FB2578">
        <w:rPr>
          <w:lang w:val="pt-PT"/>
        </w:rPr>
        <w:t>(140-vecums [gados]) × masa [kg] (× 0,85 sievietēm)</w:t>
      </w:r>
      <w:r w:rsidRPr="00FB2578">
        <w:rPr>
          <w:u w:val="none"/>
          <w:lang w:val="pt-PT"/>
        </w:rPr>
        <w:t xml:space="preserve"> </w:t>
      </w:r>
    </w:p>
    <w:p w14:paraId="04B44222" w14:textId="77777777" w:rsidR="005B1006" w:rsidRPr="00FB2578" w:rsidRDefault="005B1006" w:rsidP="005B1006">
      <w:pPr>
        <w:spacing w:after="0" w:line="259" w:lineRule="auto"/>
        <w:ind w:left="0" w:right="95" w:firstLine="0"/>
        <w:jc w:val="center"/>
        <w:rPr>
          <w:lang w:val="de-DE"/>
        </w:rPr>
      </w:pPr>
      <w:r w:rsidRPr="00FB2578">
        <w:rPr>
          <w:lang w:val="de-DE"/>
        </w:rPr>
        <w:t xml:space="preserve">72 × kreatinīna līmenis serumā [mg/dl] </w:t>
      </w:r>
    </w:p>
    <w:p w14:paraId="1259C502" w14:textId="77777777" w:rsidR="005B1006" w:rsidRPr="00FB2578" w:rsidRDefault="005B1006" w:rsidP="005B1006">
      <w:pPr>
        <w:spacing w:after="42" w:line="259" w:lineRule="auto"/>
        <w:ind w:firstLine="0"/>
        <w:rPr>
          <w:lang w:val="de-DE"/>
        </w:rPr>
      </w:pPr>
      <w:r w:rsidRPr="00FB2578">
        <w:rPr>
          <w:lang w:val="de-DE"/>
        </w:rPr>
        <w:t xml:space="preserve"> </w:t>
      </w:r>
    </w:p>
    <w:p w14:paraId="18E7891D" w14:textId="77777777" w:rsidR="005B1006" w:rsidRPr="00FB2578" w:rsidRDefault="005B1006" w:rsidP="005B1006">
      <w:pPr>
        <w:ind w:left="-10" w:right="8"/>
        <w:rPr>
          <w:lang w:val="pt-PT"/>
        </w:rPr>
      </w:pPr>
      <w:r w:rsidRPr="00FB2578">
        <w:rPr>
          <w:lang w:val="pt-PT"/>
        </w:rPr>
        <w:t xml:space="preserve">Šī metode ir ieteicama, novērtējot pacientu CrCl pirms terapijas ar edoksabānu un tās laikā. </w:t>
      </w:r>
    </w:p>
    <w:p w14:paraId="0583D789" w14:textId="77777777" w:rsidR="005B1006" w:rsidRPr="00FB2578" w:rsidRDefault="005B1006" w:rsidP="005B1006">
      <w:pPr>
        <w:spacing w:after="39" w:line="259" w:lineRule="auto"/>
        <w:ind w:firstLine="0"/>
        <w:rPr>
          <w:lang w:val="pt-PT"/>
        </w:rPr>
      </w:pPr>
      <w:r w:rsidRPr="00FB2578">
        <w:rPr>
          <w:lang w:val="pt-PT"/>
        </w:rPr>
        <w:t xml:space="preserve"> </w:t>
      </w:r>
    </w:p>
    <w:p w14:paraId="2DF04683" w14:textId="77777777" w:rsidR="005B1006" w:rsidRPr="00FB2578" w:rsidRDefault="005B1006" w:rsidP="005B1006">
      <w:pPr>
        <w:spacing w:line="318" w:lineRule="auto"/>
        <w:ind w:left="-10" w:right="8"/>
        <w:rPr>
          <w:lang w:val="pt-PT"/>
        </w:rPr>
      </w:pPr>
      <w:r w:rsidRPr="00FB2578">
        <w:rPr>
          <w:lang w:val="pt-PT"/>
        </w:rPr>
        <w:t xml:space="preserve">Pacientiem ar viegliem nieru darbības traucējumiem (CrCl &gt;50–80 ml/min) ieteicamā deva ir 60 mg edoksabāna vienreiz dienā. </w:t>
      </w:r>
    </w:p>
    <w:p w14:paraId="75CDDBB7" w14:textId="77777777" w:rsidR="005B1006" w:rsidRPr="00FB2578" w:rsidRDefault="005B1006" w:rsidP="005B1006">
      <w:pPr>
        <w:spacing w:after="34" w:line="259" w:lineRule="auto"/>
        <w:ind w:firstLine="0"/>
        <w:rPr>
          <w:lang w:val="pt-PT"/>
        </w:rPr>
      </w:pPr>
      <w:r w:rsidRPr="00FB2578">
        <w:rPr>
          <w:lang w:val="pt-PT"/>
        </w:rPr>
        <w:t xml:space="preserve"> </w:t>
      </w:r>
    </w:p>
    <w:p w14:paraId="7572EA4C" w14:textId="77777777" w:rsidR="005B1006" w:rsidRPr="00FB2578" w:rsidRDefault="005B1006" w:rsidP="005B1006">
      <w:pPr>
        <w:spacing w:after="41"/>
        <w:ind w:left="-10" w:right="8"/>
        <w:rPr>
          <w:lang w:val="pt-PT"/>
        </w:rPr>
      </w:pPr>
      <w:r w:rsidRPr="00FB2578">
        <w:rPr>
          <w:lang w:val="pt-PT"/>
        </w:rPr>
        <w:t xml:space="preserve">Pacientiem ar vidēji smagiem vai smagiem nieru darbības traucējumiem (CrCl 15–50 ml/min) ieteicamā deva ir 30 mg edoksabāna vienreiz dienā (skatīt 5.2. apakšpunktu). </w:t>
      </w:r>
    </w:p>
    <w:p w14:paraId="54935853" w14:textId="77777777" w:rsidR="005B1006" w:rsidRPr="00FB2578" w:rsidRDefault="005B1006" w:rsidP="005B1006">
      <w:pPr>
        <w:spacing w:after="43" w:line="259" w:lineRule="auto"/>
        <w:ind w:left="3" w:firstLine="0"/>
        <w:rPr>
          <w:lang w:val="pt-PT"/>
        </w:rPr>
      </w:pPr>
      <w:r w:rsidRPr="00FB2578">
        <w:rPr>
          <w:lang w:val="pt-PT"/>
        </w:rPr>
        <w:t xml:space="preserve"> </w:t>
      </w:r>
    </w:p>
    <w:p w14:paraId="33B04597" w14:textId="77777777" w:rsidR="005B1006" w:rsidRPr="00FB2578" w:rsidRDefault="005B1006" w:rsidP="005B1006">
      <w:pPr>
        <w:spacing w:line="319" w:lineRule="auto"/>
        <w:ind w:left="-10" w:right="8"/>
        <w:rPr>
          <w:lang w:val="pt-PT"/>
        </w:rPr>
      </w:pPr>
      <w:r w:rsidRPr="00FB2578">
        <w:rPr>
          <w:lang w:val="pt-PT"/>
        </w:rPr>
        <w:t xml:space="preserve">Pacientiem ar terminālu nieru mazspēju (TNM) (CrCl &lt;15 ml/min) vai kam veic dialīzi, edoksabānu lietot nav ieteicams (skatīt 4.4. un 5.2. apakšpunktu). </w:t>
      </w:r>
    </w:p>
    <w:p w14:paraId="0C6A78BE" w14:textId="77777777" w:rsidR="005B1006" w:rsidRPr="00FB2578" w:rsidRDefault="005B1006" w:rsidP="005B1006">
      <w:pPr>
        <w:spacing w:after="49" w:line="259" w:lineRule="auto"/>
        <w:ind w:left="3" w:firstLine="0"/>
        <w:rPr>
          <w:lang w:val="pt-PT"/>
        </w:rPr>
      </w:pPr>
      <w:r w:rsidRPr="00FB2578">
        <w:rPr>
          <w:lang w:val="pt-PT"/>
        </w:rPr>
        <w:t xml:space="preserve"> </w:t>
      </w:r>
    </w:p>
    <w:p w14:paraId="6BA6BE0E" w14:textId="77777777" w:rsidR="005B1006" w:rsidRPr="00FB2578" w:rsidRDefault="005B1006" w:rsidP="005B1006">
      <w:pPr>
        <w:pStyle w:val="Heading3"/>
        <w:ind w:left="-1"/>
        <w:rPr>
          <w:lang w:val="pt-PT"/>
        </w:rPr>
      </w:pPr>
      <w:r w:rsidRPr="00FB2578">
        <w:rPr>
          <w:lang w:val="pt-PT"/>
        </w:rPr>
        <w:t xml:space="preserve">Aknu darbības traucējumi </w:t>
      </w:r>
    </w:p>
    <w:p w14:paraId="76D5FF4A" w14:textId="77777777" w:rsidR="005B1006" w:rsidRPr="00FB2578" w:rsidRDefault="005B1006" w:rsidP="005B1006">
      <w:pPr>
        <w:spacing w:line="321" w:lineRule="auto"/>
        <w:ind w:left="-10" w:right="8"/>
        <w:rPr>
          <w:lang w:val="pt-PT"/>
        </w:rPr>
      </w:pPr>
      <w:r w:rsidRPr="00FB2578">
        <w:rPr>
          <w:lang w:val="pt-PT"/>
        </w:rPr>
        <w:t xml:space="preserve">Edoksabāns ir kontrindicēts pacientiem ar aknu slimību, kas saistīta ar koagulopātiju un klīniski nozīmīgu asiņošanas risku (skatīt 4.3. apakšpunktu). </w:t>
      </w:r>
    </w:p>
    <w:p w14:paraId="0AAFC2C8" w14:textId="77777777" w:rsidR="005B1006" w:rsidRPr="00FB2578" w:rsidRDefault="005B1006" w:rsidP="005B1006">
      <w:pPr>
        <w:spacing w:after="46" w:line="259" w:lineRule="auto"/>
        <w:ind w:left="3" w:firstLine="0"/>
        <w:rPr>
          <w:lang w:val="pt-PT"/>
        </w:rPr>
      </w:pPr>
      <w:r w:rsidRPr="00FB2578">
        <w:rPr>
          <w:lang w:val="pt-PT"/>
        </w:rPr>
        <w:t xml:space="preserve"> </w:t>
      </w:r>
    </w:p>
    <w:p w14:paraId="13D020BD" w14:textId="77777777" w:rsidR="005B1006" w:rsidRPr="00FB2578" w:rsidRDefault="005B1006" w:rsidP="005B1006">
      <w:pPr>
        <w:spacing w:after="52"/>
        <w:ind w:left="-10" w:right="8"/>
        <w:rPr>
          <w:lang w:val="pt-PT"/>
        </w:rPr>
      </w:pPr>
      <w:r w:rsidRPr="00FB2578">
        <w:rPr>
          <w:lang w:val="pt-PT"/>
        </w:rPr>
        <w:t xml:space="preserve">Pacientiem ar smagiem aknu darbības traucējumiem edoksabāna lietošana nav ieteicama (skatīt </w:t>
      </w:r>
    </w:p>
    <w:p w14:paraId="3284C156" w14:textId="77777777" w:rsidR="005B1006" w:rsidRPr="00FB2578" w:rsidRDefault="005B1006" w:rsidP="005B1006">
      <w:pPr>
        <w:ind w:left="-10" w:right="8"/>
        <w:rPr>
          <w:lang w:val="pt-PT"/>
        </w:rPr>
      </w:pPr>
      <w:r w:rsidRPr="00FB2578">
        <w:rPr>
          <w:lang w:val="pt-PT"/>
        </w:rPr>
        <w:t xml:space="preserve">4.4. un 5.2. apakšpunktu). </w:t>
      </w:r>
    </w:p>
    <w:p w14:paraId="29F9CF71" w14:textId="77777777" w:rsidR="005B1006" w:rsidRPr="00FB2578" w:rsidRDefault="005B1006" w:rsidP="005B1006">
      <w:pPr>
        <w:spacing w:after="44" w:line="259" w:lineRule="auto"/>
        <w:ind w:left="3" w:firstLine="0"/>
        <w:rPr>
          <w:lang w:val="pt-PT"/>
        </w:rPr>
      </w:pPr>
      <w:r w:rsidRPr="00FB2578">
        <w:rPr>
          <w:lang w:val="pt-PT"/>
        </w:rPr>
        <w:t xml:space="preserve"> </w:t>
      </w:r>
    </w:p>
    <w:p w14:paraId="6F97FBAA" w14:textId="77777777" w:rsidR="005B1006" w:rsidRPr="00FB2578" w:rsidRDefault="005B1006" w:rsidP="005B1006">
      <w:pPr>
        <w:spacing w:line="321" w:lineRule="auto"/>
        <w:ind w:left="-10" w:right="8"/>
        <w:rPr>
          <w:lang w:val="pt-PT"/>
        </w:rPr>
      </w:pPr>
      <w:r w:rsidRPr="00FB2578">
        <w:rPr>
          <w:lang w:val="pt-PT"/>
        </w:rPr>
        <w:t xml:space="preserve">Pacientiem ar viegliem līdz vidēji smagiem aknu darbības traucējumiem ieteicamā deva ir 60 mg edoksabāna vienreiz dienā (skatīt 5.2. apakšpunktu). Pacientiem ar viegliem līdz vidēji smagiem aknu darbības traucējumiem edoksabāns jālieto piesardzīgi (skatīt 4.4. apakšpunktu). </w:t>
      </w:r>
    </w:p>
    <w:p w14:paraId="349E8BE4" w14:textId="77777777" w:rsidR="005B1006" w:rsidRPr="00FB2578" w:rsidRDefault="005B1006" w:rsidP="005B1006">
      <w:pPr>
        <w:spacing w:after="0" w:line="259" w:lineRule="auto"/>
        <w:ind w:left="2" w:firstLine="0"/>
        <w:rPr>
          <w:lang w:val="pt-PT"/>
        </w:rPr>
      </w:pPr>
      <w:r w:rsidRPr="00FB2578">
        <w:rPr>
          <w:lang w:val="pt-PT"/>
        </w:rPr>
        <w:t xml:space="preserve"> </w:t>
      </w:r>
    </w:p>
    <w:p w14:paraId="4169694B" w14:textId="77777777" w:rsidR="005B1006" w:rsidRPr="00FB2578" w:rsidRDefault="005B1006" w:rsidP="005B1006">
      <w:pPr>
        <w:spacing w:after="48"/>
        <w:ind w:left="-10" w:right="8"/>
        <w:rPr>
          <w:lang w:val="pt-PT"/>
        </w:rPr>
      </w:pPr>
      <w:r w:rsidRPr="00FB2578">
        <w:rPr>
          <w:lang w:val="pt-PT"/>
        </w:rPr>
        <w:t xml:space="preserve">Pacienti ar paaugstinātiem aknu enzīmu (alanīnaminotransferāze (ALT) vai aspartātaminotransferāze (AST) &gt;2 x normas augšējā robeža (ULN)) vai kopējā bilirubīna ≥1,5 x ULN rādītājiem tika izslēgti no klīniskajiem pētījumiem. Tāpēc šajā populācijā edoksabāns jālieto piesardzīgi (skatīt 4.4. un </w:t>
      </w:r>
    </w:p>
    <w:p w14:paraId="03F93652" w14:textId="77777777" w:rsidR="005B1006" w:rsidRPr="00FB2578" w:rsidRDefault="005B1006" w:rsidP="005B1006">
      <w:pPr>
        <w:ind w:left="-10" w:right="8"/>
        <w:rPr>
          <w:lang w:val="pt-PT"/>
        </w:rPr>
      </w:pPr>
      <w:r w:rsidRPr="00FB2578">
        <w:rPr>
          <w:lang w:val="pt-PT"/>
        </w:rPr>
        <w:t xml:space="preserve">5.2. apakšpunktu). Pirms edoksabāna izvēles ārstēšanai jāpārbauda aknu funkciju rādītāji. </w:t>
      </w:r>
    </w:p>
    <w:p w14:paraId="0AA593A0" w14:textId="77777777" w:rsidR="005B1006" w:rsidRPr="00FB2578" w:rsidRDefault="005B1006" w:rsidP="005B1006">
      <w:pPr>
        <w:spacing w:after="49" w:line="259" w:lineRule="auto"/>
        <w:ind w:left="3" w:firstLine="0"/>
        <w:rPr>
          <w:lang w:val="pt-PT"/>
        </w:rPr>
      </w:pPr>
      <w:r w:rsidRPr="00FB2578">
        <w:rPr>
          <w:lang w:val="pt-PT"/>
        </w:rPr>
        <w:t xml:space="preserve"> </w:t>
      </w:r>
    </w:p>
    <w:p w14:paraId="0D1D1E92" w14:textId="77777777" w:rsidR="005B1006" w:rsidRPr="00FB2578" w:rsidRDefault="005B1006" w:rsidP="005B1006">
      <w:pPr>
        <w:pStyle w:val="Heading3"/>
        <w:ind w:left="-1"/>
        <w:rPr>
          <w:lang w:val="pt-PT"/>
        </w:rPr>
      </w:pPr>
      <w:r w:rsidRPr="00FB2578">
        <w:rPr>
          <w:lang w:val="pt-PT"/>
        </w:rPr>
        <w:t xml:space="preserve">Ķermeņa masa </w:t>
      </w:r>
    </w:p>
    <w:p w14:paraId="312A786B" w14:textId="77777777" w:rsidR="005B1006" w:rsidRPr="00FB2578" w:rsidRDefault="005B1006" w:rsidP="005B1006">
      <w:pPr>
        <w:spacing w:after="53"/>
        <w:ind w:left="-10" w:right="8"/>
        <w:rPr>
          <w:lang w:val="pt-PT"/>
        </w:rPr>
      </w:pPr>
      <w:r w:rsidRPr="00FB2578">
        <w:rPr>
          <w:lang w:val="pt-PT"/>
        </w:rPr>
        <w:t xml:space="preserve">Pacientiem ar ķermeņa masu ≤60 kg ieteicamā deva ir 30 mg edoksabāna vienreiz dienā (skatīt </w:t>
      </w:r>
    </w:p>
    <w:p w14:paraId="455A6F3F" w14:textId="77777777" w:rsidR="005B1006" w:rsidRPr="00FB2578" w:rsidRDefault="005B1006" w:rsidP="005B1006">
      <w:pPr>
        <w:ind w:left="-10" w:right="8"/>
        <w:rPr>
          <w:lang w:val="pt-PT"/>
        </w:rPr>
      </w:pPr>
      <w:r w:rsidRPr="00FB2578">
        <w:rPr>
          <w:lang w:val="pt-PT"/>
        </w:rPr>
        <w:t xml:space="preserve">5.2. apakšpunktu). </w:t>
      </w:r>
    </w:p>
    <w:p w14:paraId="396A9D94" w14:textId="77777777" w:rsidR="005B1006" w:rsidRPr="00FB2578" w:rsidRDefault="005B1006" w:rsidP="005B1006">
      <w:pPr>
        <w:spacing w:after="45" w:line="259" w:lineRule="auto"/>
        <w:ind w:left="3" w:firstLine="0"/>
        <w:rPr>
          <w:lang w:val="pt-PT"/>
        </w:rPr>
      </w:pPr>
      <w:r w:rsidRPr="00FB2578">
        <w:rPr>
          <w:i/>
          <w:lang w:val="pt-PT"/>
        </w:rPr>
        <w:t xml:space="preserve"> </w:t>
      </w:r>
    </w:p>
    <w:p w14:paraId="4A2BFA80" w14:textId="77777777" w:rsidR="005B1006" w:rsidRPr="00FB2578" w:rsidRDefault="005B1006" w:rsidP="005B1006">
      <w:pPr>
        <w:spacing w:after="62" w:line="259" w:lineRule="auto"/>
        <w:ind w:left="-1" w:hanging="10"/>
        <w:rPr>
          <w:lang w:val="pt-PT"/>
        </w:rPr>
      </w:pPr>
      <w:r w:rsidRPr="00FB2578">
        <w:rPr>
          <w:i/>
          <w:lang w:val="pt-PT"/>
        </w:rPr>
        <w:t xml:space="preserve">Dzimums </w:t>
      </w:r>
    </w:p>
    <w:p w14:paraId="1435E222" w14:textId="77777777" w:rsidR="005B1006" w:rsidRPr="00FB2578" w:rsidRDefault="005B1006" w:rsidP="005B1006">
      <w:pPr>
        <w:ind w:left="-10" w:right="8"/>
        <w:rPr>
          <w:lang w:val="pt-PT"/>
        </w:rPr>
      </w:pPr>
      <w:r w:rsidRPr="00FB2578">
        <w:rPr>
          <w:lang w:val="pt-PT"/>
        </w:rPr>
        <w:t>Deva nav jāsamazina (skatīt 5.2. apakšpunktu).</w:t>
      </w:r>
      <w:r w:rsidRPr="00FB2578">
        <w:rPr>
          <w:i/>
          <w:lang w:val="pt-PT"/>
        </w:rPr>
        <w:t xml:space="preserve"> </w:t>
      </w:r>
    </w:p>
    <w:p w14:paraId="7230FFD3" w14:textId="77777777" w:rsidR="005B1006" w:rsidRPr="00FB2578" w:rsidRDefault="005B1006" w:rsidP="005B1006">
      <w:pPr>
        <w:spacing w:after="48" w:line="259" w:lineRule="auto"/>
        <w:ind w:left="2" w:firstLine="0"/>
        <w:rPr>
          <w:lang w:val="pt-PT"/>
        </w:rPr>
      </w:pPr>
      <w:r w:rsidRPr="00FB2578">
        <w:rPr>
          <w:i/>
          <w:lang w:val="pt-PT"/>
        </w:rPr>
        <w:t xml:space="preserve"> </w:t>
      </w:r>
    </w:p>
    <w:p w14:paraId="5CD33ACF" w14:textId="77777777" w:rsidR="005B1006" w:rsidRPr="00FB2578" w:rsidRDefault="005B1006" w:rsidP="005B1006">
      <w:pPr>
        <w:pStyle w:val="Heading3"/>
        <w:ind w:left="-1"/>
        <w:rPr>
          <w:lang w:val="pt-PT"/>
        </w:rPr>
      </w:pPr>
      <w:r w:rsidRPr="00FB2578">
        <w:rPr>
          <w:lang w:val="pt-PT"/>
        </w:rPr>
        <w:t xml:space="preserve">Lixiana lietošana vienlaikus ar P-glikoproteīna (P-gp) inhibitoriem </w:t>
      </w:r>
    </w:p>
    <w:p w14:paraId="2E840C77" w14:textId="77777777" w:rsidR="005B1006" w:rsidRPr="00FB2578" w:rsidRDefault="005B1006" w:rsidP="005B1006">
      <w:pPr>
        <w:spacing w:after="51"/>
        <w:ind w:left="-10" w:right="90"/>
        <w:rPr>
          <w:lang w:val="pt-PT"/>
        </w:rPr>
      </w:pPr>
      <w:r w:rsidRPr="00FB2578">
        <w:rPr>
          <w:lang w:val="pt-PT"/>
        </w:rPr>
        <w:t xml:space="preserve">Pacientiem, kas vienlaikus lieto Lixiana un P-gp inhibitorus ciklosporīnu, dronedaronu, eritromicīnu vai ketokonazolu, ieteicamā deva ir 30 mg Lixiana vienreiz dienā (skatīt 4.5. apakšpunktu). Vienlaikus lietojot amiodaronu, hinidīnu vai verapamilu, deva nav jāsamazina (skatīt 4.5. apakšpunktu). </w:t>
      </w:r>
    </w:p>
    <w:p w14:paraId="1ADEEEF9" w14:textId="77777777" w:rsidR="005B1006" w:rsidRPr="00FB2578" w:rsidRDefault="005B1006" w:rsidP="005B1006">
      <w:pPr>
        <w:ind w:left="-10" w:right="8"/>
        <w:rPr>
          <w:lang w:val="pt-PT"/>
        </w:rPr>
      </w:pPr>
      <w:r w:rsidRPr="00FB2578">
        <w:rPr>
          <w:lang w:val="pt-PT"/>
        </w:rPr>
        <w:t xml:space="preserve">Lixiana lietošana kopā ar citiem P-gp inhibitoriem, tostarp HIV proteāzes inhibitoriem, nav pētīta. </w:t>
      </w:r>
    </w:p>
    <w:p w14:paraId="758293B5" w14:textId="77777777" w:rsidR="005B1006" w:rsidRPr="00FB2578" w:rsidRDefault="005B1006" w:rsidP="005B1006">
      <w:pPr>
        <w:spacing w:after="49" w:line="259" w:lineRule="auto"/>
        <w:ind w:left="2" w:firstLine="0"/>
        <w:rPr>
          <w:lang w:val="pt-PT"/>
        </w:rPr>
      </w:pPr>
      <w:r w:rsidRPr="00FB2578">
        <w:rPr>
          <w:lang w:val="pt-PT"/>
        </w:rPr>
        <w:t xml:space="preserve"> </w:t>
      </w:r>
    </w:p>
    <w:p w14:paraId="2D696B02" w14:textId="77777777" w:rsidR="005B1006" w:rsidRPr="00FB2578" w:rsidRDefault="005B1006" w:rsidP="005B1006">
      <w:pPr>
        <w:pStyle w:val="Heading3"/>
        <w:ind w:left="-1"/>
        <w:rPr>
          <w:lang w:val="pt-PT"/>
        </w:rPr>
      </w:pPr>
      <w:r w:rsidRPr="00FB2578">
        <w:rPr>
          <w:lang w:val="pt-PT"/>
        </w:rPr>
        <w:t xml:space="preserve">Pediatriskā populācija </w:t>
      </w:r>
    </w:p>
    <w:p w14:paraId="403B0711" w14:textId="77777777" w:rsidR="005B1006" w:rsidRPr="00FB2578" w:rsidRDefault="005B1006" w:rsidP="005B1006">
      <w:pPr>
        <w:spacing w:line="321" w:lineRule="auto"/>
        <w:ind w:left="-10" w:right="8"/>
        <w:rPr>
          <w:lang w:val="pt-PT"/>
        </w:rPr>
      </w:pPr>
      <w:r w:rsidRPr="00FB2578">
        <w:rPr>
          <w:lang w:val="pt-PT"/>
        </w:rPr>
        <w:t xml:space="preserve">Edoksabāna drošums un efektivitāte, lietojot bērniem un pusaudžiem, kas nav sasnieguši 18 gadu vecumu, nav pierādīta. Dati nav pieejami. </w:t>
      </w:r>
    </w:p>
    <w:p w14:paraId="338ADAC3" w14:textId="77777777" w:rsidR="005B1006" w:rsidRPr="00FB2578" w:rsidRDefault="005B1006" w:rsidP="005B1006">
      <w:pPr>
        <w:spacing w:after="51" w:line="259" w:lineRule="auto"/>
        <w:ind w:left="2" w:firstLine="0"/>
        <w:rPr>
          <w:lang w:val="pt-PT"/>
        </w:rPr>
      </w:pPr>
      <w:r w:rsidRPr="00FB2578">
        <w:rPr>
          <w:lang w:val="pt-PT"/>
        </w:rPr>
        <w:t xml:space="preserve"> </w:t>
      </w:r>
    </w:p>
    <w:p w14:paraId="70F73E88" w14:textId="77777777" w:rsidR="005B1006" w:rsidRPr="00FB2578" w:rsidRDefault="005B1006" w:rsidP="005B1006">
      <w:pPr>
        <w:pStyle w:val="Heading3"/>
        <w:spacing w:after="0"/>
        <w:ind w:left="-1"/>
        <w:rPr>
          <w:lang w:val="pt-PT"/>
        </w:rPr>
      </w:pPr>
      <w:r w:rsidRPr="00FB2578">
        <w:rPr>
          <w:lang w:val="pt-PT"/>
        </w:rPr>
        <w:t xml:space="preserve">Pacienti, kam paredzēta kardioversija </w:t>
      </w:r>
    </w:p>
    <w:p w14:paraId="5826E37D" w14:textId="77777777" w:rsidR="005B1006" w:rsidRPr="00FB2578" w:rsidRDefault="005B1006" w:rsidP="005B1006">
      <w:pPr>
        <w:spacing w:after="54"/>
        <w:ind w:left="-10" w:right="8"/>
        <w:rPr>
          <w:lang w:val="pt-PT"/>
        </w:rPr>
      </w:pPr>
      <w:r w:rsidRPr="00FB2578">
        <w:rPr>
          <w:lang w:val="pt-PT"/>
        </w:rPr>
        <w:t xml:space="preserve">Lixiana lietošanu var sākt vai turpināt pacientiem, kam, iespējams, vajadzīga kardioversija. Transezofageālas ehokardiogrammas (TEE) vadītas kardioversijas gadījumā pacientiem, kas iepriekš nav ārstēti ar antikoagulantiem, Lixiana lietošana jāsāk vismaz </w:t>
      </w:r>
      <w:r w:rsidRPr="00FB2578">
        <w:rPr>
          <w:b/>
          <w:lang w:val="pt-PT"/>
        </w:rPr>
        <w:t>2 stundas</w:t>
      </w:r>
      <w:r w:rsidRPr="00FB2578">
        <w:rPr>
          <w:lang w:val="pt-PT"/>
        </w:rPr>
        <w:t xml:space="preserve"> pirms kardioversijas, lai nodrošinātu adekvātu antikoagulāciju (skatīt 5.1. un 5.2. apakšpunktu). Kardioversija jāveic ne vēlāk kā 12 stundas pēc Lixiana devas lietošanas procedūras dienā. </w:t>
      </w:r>
    </w:p>
    <w:p w14:paraId="66F20474" w14:textId="77777777" w:rsidR="005B1006" w:rsidRPr="00FB2578" w:rsidRDefault="005B1006" w:rsidP="005B1006">
      <w:pPr>
        <w:ind w:left="-10" w:right="8"/>
        <w:rPr>
          <w:lang w:val="pt-PT"/>
        </w:rPr>
      </w:pPr>
      <w:r w:rsidRPr="00FB2578">
        <w:rPr>
          <w:b/>
          <w:lang w:val="pt-PT"/>
        </w:rPr>
        <w:t>Visiem pacientiem, kam paredzēta kardioversija:</w:t>
      </w:r>
      <w:r w:rsidRPr="00FB2578">
        <w:rPr>
          <w:lang w:val="pt-PT"/>
        </w:rPr>
        <w:t xml:space="preserve"> pirms kardioversijas jālūdz apstiprinājums, ka pacients Lixiana lietojis pēc norādījumiem. Lēmumiem par ārstēšanas sākšanu un ilgumu jāatbilst vispārpieņemtajām vadlīnijām par antikoagulantu lietošanu pacientiem, kam paredzēta kardioversija. </w:t>
      </w:r>
    </w:p>
    <w:p w14:paraId="6DA1D25F" w14:textId="77777777" w:rsidR="005B1006" w:rsidRPr="00FB2578" w:rsidRDefault="005B1006" w:rsidP="005B1006">
      <w:pPr>
        <w:spacing w:after="45" w:line="259" w:lineRule="auto"/>
        <w:ind w:left="1" w:firstLine="0"/>
        <w:rPr>
          <w:lang w:val="pt-PT"/>
        </w:rPr>
      </w:pPr>
      <w:r w:rsidRPr="00FB2578">
        <w:rPr>
          <w:lang w:val="pt-PT"/>
        </w:rPr>
        <w:t xml:space="preserve"> </w:t>
      </w:r>
    </w:p>
    <w:p w14:paraId="7410667E" w14:textId="77777777" w:rsidR="005B1006" w:rsidRPr="00FB2578" w:rsidRDefault="005B1006" w:rsidP="005B1006">
      <w:pPr>
        <w:pStyle w:val="Heading2"/>
        <w:ind w:left="0"/>
        <w:rPr>
          <w:lang w:val="pt-PT"/>
        </w:rPr>
      </w:pPr>
      <w:r w:rsidRPr="00FB2578">
        <w:rPr>
          <w:lang w:val="pt-PT"/>
        </w:rPr>
        <w:t>Lietošanas veids</w:t>
      </w:r>
      <w:r w:rsidRPr="00FB2578">
        <w:rPr>
          <w:u w:val="none"/>
          <w:lang w:val="pt-PT"/>
        </w:rPr>
        <w:t xml:space="preserve">  </w:t>
      </w:r>
    </w:p>
    <w:p w14:paraId="3438E3D7" w14:textId="77777777" w:rsidR="005B1006" w:rsidRPr="00FB2578" w:rsidRDefault="005B1006" w:rsidP="005B1006">
      <w:pPr>
        <w:spacing w:after="45" w:line="259" w:lineRule="auto"/>
        <w:ind w:firstLine="0"/>
        <w:rPr>
          <w:lang w:val="pt-PT"/>
        </w:rPr>
      </w:pPr>
      <w:r w:rsidRPr="00FB2578">
        <w:rPr>
          <w:lang w:val="pt-PT"/>
        </w:rPr>
        <w:t xml:space="preserve"> </w:t>
      </w:r>
    </w:p>
    <w:p w14:paraId="05897086" w14:textId="77777777" w:rsidR="005B1006" w:rsidRPr="00FB2578" w:rsidRDefault="005B1006" w:rsidP="005B1006">
      <w:pPr>
        <w:spacing w:after="55"/>
        <w:ind w:left="-10" w:right="8"/>
        <w:rPr>
          <w:lang w:val="pt-PT"/>
        </w:rPr>
      </w:pPr>
      <w:r w:rsidRPr="00FB2578">
        <w:rPr>
          <w:lang w:val="pt-PT"/>
        </w:rPr>
        <w:t xml:space="preserve">Iekšķīgai lietošanai.  </w:t>
      </w:r>
    </w:p>
    <w:p w14:paraId="04AE67C0" w14:textId="77777777" w:rsidR="005B1006" w:rsidRPr="00FB2578" w:rsidRDefault="005B1006" w:rsidP="005B1006">
      <w:pPr>
        <w:ind w:left="-10" w:right="8"/>
        <w:rPr>
          <w:lang w:val="pt-PT"/>
        </w:rPr>
      </w:pPr>
      <w:r w:rsidRPr="00FB2578">
        <w:rPr>
          <w:lang w:val="pt-PT"/>
        </w:rPr>
        <w:t xml:space="preserve">Edoksabānu var lietot ēdienreizes laikā vai tukšā dūšā (skatīt 5.2. apakšpunktu). </w:t>
      </w:r>
    </w:p>
    <w:p w14:paraId="31CEE487" w14:textId="77777777" w:rsidR="005B1006" w:rsidRPr="00FB2578" w:rsidRDefault="005B1006" w:rsidP="005B1006">
      <w:pPr>
        <w:spacing w:after="0" w:line="259" w:lineRule="auto"/>
        <w:ind w:firstLine="0"/>
        <w:rPr>
          <w:lang w:val="pt-PT"/>
        </w:rPr>
      </w:pPr>
      <w:r w:rsidRPr="00FB2578">
        <w:rPr>
          <w:lang w:val="pt-PT"/>
        </w:rPr>
        <w:t xml:space="preserve"> </w:t>
      </w:r>
    </w:p>
    <w:p w14:paraId="6921D639" w14:textId="77777777" w:rsidR="005B1006" w:rsidRPr="00FB2578" w:rsidRDefault="005B1006" w:rsidP="005B1006">
      <w:pPr>
        <w:spacing w:after="30"/>
        <w:ind w:left="-10" w:right="8"/>
        <w:rPr>
          <w:lang w:val="pt-PT"/>
        </w:rPr>
      </w:pPr>
      <w:r w:rsidRPr="00FB2578">
        <w:rPr>
          <w:lang w:val="pt-PT"/>
        </w:rPr>
        <w:t xml:space="preserve">Pacientiem, kas nespēj norīt veselas tabletes, Lixiana tabletes var sasmalcināt un sajaukt ar ūdeni vai ābolu biezeni, un tūlīt lietot iekšķīgi (skatīt 5.2. apakšpunktu). </w:t>
      </w:r>
    </w:p>
    <w:p w14:paraId="522437FA" w14:textId="77777777" w:rsidR="005B1006" w:rsidRPr="00FB2578" w:rsidRDefault="005B1006" w:rsidP="005B1006">
      <w:pPr>
        <w:spacing w:after="45" w:line="259" w:lineRule="auto"/>
        <w:ind w:firstLine="0"/>
        <w:rPr>
          <w:lang w:val="pt-PT"/>
        </w:rPr>
      </w:pPr>
      <w:r w:rsidRPr="00FB2578">
        <w:rPr>
          <w:lang w:val="pt-PT"/>
        </w:rPr>
        <w:t xml:space="preserve"> </w:t>
      </w:r>
    </w:p>
    <w:p w14:paraId="5284418B" w14:textId="77777777" w:rsidR="005B1006" w:rsidRPr="00FB2578" w:rsidRDefault="005B1006" w:rsidP="005B1006">
      <w:pPr>
        <w:spacing w:line="321" w:lineRule="auto"/>
        <w:ind w:left="-10" w:right="8"/>
        <w:rPr>
          <w:lang w:val="pt-PT"/>
        </w:rPr>
      </w:pPr>
      <w:r w:rsidRPr="00FB2578">
        <w:rPr>
          <w:lang w:val="pt-PT"/>
        </w:rPr>
        <w:t xml:space="preserve">Lixiana tabletes arī var sasmalcināt un suspendēt nelielā daudzumā ūdens, un tūlīt ievadīt caur gastrālo zondi, kura pēc tam ir jāizskalo ar ūdeni (skatīt 5.2. apakšpunktu). Sasmalcinātas Lixiana tabletes ūdenī un ābolu biezenī ir stabilas līdz 4 stundām. </w:t>
      </w:r>
    </w:p>
    <w:p w14:paraId="36D35587" w14:textId="77777777" w:rsidR="005B1006" w:rsidRPr="00FB2578" w:rsidRDefault="005B1006" w:rsidP="005B1006">
      <w:pPr>
        <w:spacing w:after="40" w:line="259" w:lineRule="auto"/>
        <w:ind w:left="3" w:firstLine="0"/>
        <w:rPr>
          <w:lang w:val="pt-PT"/>
        </w:rPr>
      </w:pPr>
      <w:r w:rsidRPr="00FB2578">
        <w:rPr>
          <w:lang w:val="pt-PT"/>
        </w:rPr>
        <w:t xml:space="preserve"> </w:t>
      </w:r>
    </w:p>
    <w:p w14:paraId="6484E253" w14:textId="77777777" w:rsidR="005B1006" w:rsidRPr="00FB2578" w:rsidRDefault="005B1006" w:rsidP="005B1006">
      <w:pPr>
        <w:pStyle w:val="Heading3"/>
        <w:tabs>
          <w:tab w:val="center" w:pos="1371"/>
        </w:tabs>
        <w:spacing w:after="0"/>
        <w:ind w:left="-10" w:firstLine="0"/>
        <w:rPr>
          <w:lang w:val="pt-PT"/>
        </w:rPr>
      </w:pPr>
      <w:r w:rsidRPr="00FB2578">
        <w:rPr>
          <w:b/>
          <w:i w:val="0"/>
          <w:lang w:val="pt-PT"/>
        </w:rPr>
        <w:t xml:space="preserve">4.3. </w:t>
      </w:r>
      <w:r w:rsidRPr="00FB2578">
        <w:rPr>
          <w:b/>
          <w:i w:val="0"/>
          <w:lang w:val="pt-PT"/>
        </w:rPr>
        <w:tab/>
        <w:t>Kontrindikācijas</w:t>
      </w:r>
      <w:r w:rsidRPr="00FB2578">
        <w:rPr>
          <w:i w:val="0"/>
          <w:lang w:val="pt-PT"/>
        </w:rPr>
        <w:t xml:space="preserve"> </w:t>
      </w:r>
    </w:p>
    <w:p w14:paraId="58EB7287" w14:textId="77777777" w:rsidR="005B1006" w:rsidRPr="00FB2578" w:rsidRDefault="005B1006" w:rsidP="005B1006">
      <w:pPr>
        <w:spacing w:after="45" w:line="259" w:lineRule="auto"/>
        <w:ind w:left="3" w:firstLine="0"/>
        <w:rPr>
          <w:lang w:val="pt-PT"/>
        </w:rPr>
      </w:pPr>
      <w:r w:rsidRPr="00FB2578">
        <w:rPr>
          <w:lang w:val="pt-PT"/>
        </w:rPr>
        <w:t xml:space="preserve"> </w:t>
      </w:r>
    </w:p>
    <w:p w14:paraId="5B957FDB" w14:textId="77777777" w:rsidR="005B1006" w:rsidRPr="00FB2578" w:rsidRDefault="005B1006" w:rsidP="005B1006">
      <w:pPr>
        <w:spacing w:after="177"/>
        <w:ind w:left="-10" w:right="8"/>
        <w:rPr>
          <w:lang w:val="pt-PT"/>
        </w:rPr>
      </w:pPr>
      <w:r w:rsidRPr="00FB2578">
        <w:rPr>
          <w:lang w:val="pt-PT"/>
        </w:rPr>
        <w:t xml:space="preserve">Paaugstināta jutība pret aktīvo vielu vai jebkuru no 6.1. apakšpunktā uzskaitītajām palīgvielām. </w:t>
      </w:r>
    </w:p>
    <w:p w14:paraId="1156D418" w14:textId="77777777" w:rsidR="005B1006" w:rsidRPr="00FB2578" w:rsidRDefault="005B1006" w:rsidP="005B1006">
      <w:pPr>
        <w:spacing w:after="177"/>
        <w:ind w:left="-10" w:right="8"/>
        <w:rPr>
          <w:lang w:val="pt-PT"/>
        </w:rPr>
      </w:pPr>
      <w:r w:rsidRPr="00FB2578">
        <w:rPr>
          <w:lang w:val="pt-PT"/>
        </w:rPr>
        <w:t xml:space="preserve">Klīniski nozīmīga aktīva asiņošana. </w:t>
      </w:r>
    </w:p>
    <w:p w14:paraId="4B1366E6" w14:textId="77777777" w:rsidR="005B1006" w:rsidRPr="00FB2578" w:rsidRDefault="005B1006" w:rsidP="005B1006">
      <w:pPr>
        <w:spacing w:after="178"/>
        <w:ind w:left="-10" w:right="8"/>
        <w:rPr>
          <w:lang w:val="pt-PT"/>
        </w:rPr>
      </w:pPr>
      <w:r w:rsidRPr="00FB2578">
        <w:rPr>
          <w:lang w:val="pt-PT"/>
        </w:rPr>
        <w:t xml:space="preserve">Aknu slimība, kas saistīta ar koagulopātiju un klīniski nozīmīgu asiņošanas risku. </w:t>
      </w:r>
    </w:p>
    <w:p w14:paraId="425F58A6" w14:textId="77777777" w:rsidR="005B1006" w:rsidRPr="00FB2578" w:rsidRDefault="005B1006" w:rsidP="005B1006">
      <w:pPr>
        <w:ind w:left="-10" w:right="8"/>
        <w:rPr>
          <w:lang w:val="pt-PT"/>
        </w:rPr>
      </w:pPr>
      <w:r w:rsidRPr="00FB2578">
        <w:rPr>
          <w:lang w:val="pt-PT"/>
        </w:rPr>
        <w:t xml:space="preserve">Brūce vai stāvoklis, ja tie uzskatāmi par nozīmīgu būtiskas asiņošanas risku. Tie var būt esoša vai nesen bijusi gastrointestināla čūla, ļaundabīgi jaunveidojumi ar paaugstinātu asiņošanas risku, nesena galvas vai muguras smadzeņu trauma, nesena smadzeņu, muguras smadzeņu vai acs ķirurģiska operācija, nesena intrakraniāla asiņošana, pierādīta vai iespējama barības vada vēnu varikoze, arteriovenozas malformācijas, asinsvadu aneirismas vai smagas intraspinālas vai intracerebrālas asinsvadu anomālijas. </w:t>
      </w:r>
    </w:p>
    <w:p w14:paraId="5ED8C300" w14:textId="77777777" w:rsidR="005B1006" w:rsidRPr="00FB2578" w:rsidRDefault="005B1006" w:rsidP="005B1006">
      <w:pPr>
        <w:spacing w:after="177"/>
        <w:ind w:left="-10" w:right="8"/>
        <w:rPr>
          <w:lang w:val="pt-PT"/>
        </w:rPr>
      </w:pPr>
      <w:r w:rsidRPr="00FB2578">
        <w:rPr>
          <w:lang w:val="pt-PT"/>
        </w:rPr>
        <w:t xml:space="preserve">Nekontrolēta smaga hipertensija. </w:t>
      </w:r>
    </w:p>
    <w:p w14:paraId="3CBDCA04" w14:textId="77777777" w:rsidR="005B1006" w:rsidRPr="00FB2578" w:rsidRDefault="005B1006" w:rsidP="005B1006">
      <w:pPr>
        <w:spacing w:after="32"/>
        <w:ind w:left="-10" w:right="8"/>
        <w:rPr>
          <w:lang w:val="pt-PT"/>
        </w:rPr>
      </w:pPr>
      <w:r w:rsidRPr="00FB2578">
        <w:rPr>
          <w:lang w:val="pt-PT"/>
        </w:rPr>
        <w:t xml:space="preserve">Vienlaicīga ārstēšana ar kādu citu antikoagulantu, piemēram, NFH, MMH (enoksaparīnu, dalteparīnu u. tml.), heparīna derivātiem (fondaparinuksu u. tml.), iekšķīgi lietojamiem antikoagulantiem (varfarīnu, dabigatrāna eteksilātu, rivaroksabānu, apiksabānu u. tml.), izņemot īpašos gadījumos, kad tiek mainīta iekšķīgi lietojamu antikoagulantu terapija (skatīt </w:t>
      </w:r>
    </w:p>
    <w:p w14:paraId="57FBCE53" w14:textId="77777777" w:rsidR="005B1006" w:rsidRPr="00FB2578" w:rsidRDefault="005B1006" w:rsidP="005B1006">
      <w:pPr>
        <w:spacing w:line="378" w:lineRule="auto"/>
        <w:ind w:left="-10" w:right="378"/>
        <w:rPr>
          <w:lang w:val="pt-PT"/>
        </w:rPr>
      </w:pPr>
      <w:r w:rsidRPr="00FB2578">
        <w:rPr>
          <w:lang w:val="pt-PT"/>
        </w:rPr>
        <w:t xml:space="preserve">4.2. apakšpunktu) vai kad NFH tiek lietots devās, kas nepieciešamas centrālā venozā vai arteriālā katetra caurejamības nodrošināšanai (skatīt 4.5. apakšpunktu). Grūtniecība un barošana ar krūti (skatīt 4.6. apakšpunktu). </w:t>
      </w:r>
    </w:p>
    <w:p w14:paraId="72271BF1" w14:textId="77777777" w:rsidR="005B1006" w:rsidRPr="00FB2578" w:rsidRDefault="005B1006" w:rsidP="005B1006">
      <w:pPr>
        <w:spacing w:after="47" w:line="259" w:lineRule="auto"/>
        <w:ind w:firstLine="0"/>
        <w:rPr>
          <w:lang w:val="pt-PT"/>
        </w:rPr>
      </w:pPr>
      <w:r w:rsidRPr="00FB2578">
        <w:rPr>
          <w:lang w:val="pt-PT"/>
        </w:rPr>
        <w:t xml:space="preserve"> </w:t>
      </w:r>
    </w:p>
    <w:p w14:paraId="6167EBED" w14:textId="77777777" w:rsidR="005B1006" w:rsidRPr="00FB2578" w:rsidRDefault="005B1006" w:rsidP="005B1006">
      <w:pPr>
        <w:pStyle w:val="Heading3"/>
        <w:tabs>
          <w:tab w:val="center" w:pos="2564"/>
        </w:tabs>
        <w:spacing w:after="0"/>
        <w:ind w:left="-10" w:firstLine="0"/>
        <w:rPr>
          <w:lang w:val="pt-PT"/>
        </w:rPr>
      </w:pPr>
      <w:r w:rsidRPr="00FB2578">
        <w:rPr>
          <w:b/>
          <w:i w:val="0"/>
          <w:lang w:val="pt-PT"/>
        </w:rPr>
        <w:t xml:space="preserve">4.4. </w:t>
      </w:r>
      <w:r w:rsidRPr="00FB2578">
        <w:rPr>
          <w:b/>
          <w:i w:val="0"/>
          <w:lang w:val="pt-PT"/>
        </w:rPr>
        <w:tab/>
        <w:t xml:space="preserve">Īpaši brīdinājumi un piesardzība lietošanā </w:t>
      </w:r>
    </w:p>
    <w:p w14:paraId="6AD2DB35" w14:textId="77777777" w:rsidR="005B1006" w:rsidRPr="00FB2578" w:rsidRDefault="005B1006" w:rsidP="005B1006">
      <w:pPr>
        <w:spacing w:after="45" w:line="259" w:lineRule="auto"/>
        <w:ind w:firstLine="0"/>
        <w:rPr>
          <w:lang w:val="pt-PT"/>
        </w:rPr>
      </w:pPr>
      <w:r w:rsidRPr="00FB2578">
        <w:rPr>
          <w:lang w:val="pt-PT"/>
        </w:rPr>
        <w:t xml:space="preserve"> </w:t>
      </w:r>
    </w:p>
    <w:p w14:paraId="3630609D" w14:textId="77777777" w:rsidR="005B1006" w:rsidRPr="00FB2578" w:rsidRDefault="005B1006" w:rsidP="005B1006">
      <w:pPr>
        <w:spacing w:line="320" w:lineRule="auto"/>
        <w:ind w:left="-10" w:right="8"/>
        <w:rPr>
          <w:lang w:val="pt-PT"/>
        </w:rPr>
      </w:pPr>
      <w:r w:rsidRPr="00FB2578">
        <w:rPr>
          <w:lang w:val="pt-PT"/>
        </w:rPr>
        <w:t xml:space="preserve">Edoksabānu 15 mg nav paredzēts lietot kā monoterapiju, jo tad var mazināties efektivitāte. Tas paredzēts tikai laikā, kamēr pāriet no edoksabāna 30 mg lietošanas (pacienti ar vienu vai vairākiem klīniskiem faktoriem, kas pastiprina iedarbību; skatīt 1. tabulu) uz KVA kopā ar piemērotu KVA devu (skatīt 2. tabulu 4.2. apakšpunktā). </w:t>
      </w:r>
    </w:p>
    <w:p w14:paraId="78F73149" w14:textId="77777777" w:rsidR="005B1006" w:rsidRPr="00FB2578" w:rsidRDefault="005B1006" w:rsidP="005B1006">
      <w:pPr>
        <w:spacing w:after="45" w:line="259" w:lineRule="auto"/>
        <w:ind w:firstLine="0"/>
        <w:rPr>
          <w:lang w:val="pt-PT"/>
        </w:rPr>
      </w:pPr>
      <w:r w:rsidRPr="00FB2578">
        <w:rPr>
          <w:lang w:val="pt-PT"/>
        </w:rPr>
        <w:t xml:space="preserve"> </w:t>
      </w:r>
    </w:p>
    <w:p w14:paraId="3E2ABDF2" w14:textId="77777777" w:rsidR="005B1006" w:rsidRPr="00FB2578" w:rsidRDefault="005B1006" w:rsidP="005B1006">
      <w:pPr>
        <w:pStyle w:val="Heading2"/>
        <w:ind w:left="0"/>
        <w:rPr>
          <w:lang w:val="pt-PT"/>
        </w:rPr>
      </w:pPr>
      <w:r w:rsidRPr="00FB2578">
        <w:rPr>
          <w:lang w:val="pt-PT"/>
        </w:rPr>
        <w:t>Asiņošanas risks</w:t>
      </w:r>
      <w:r w:rsidRPr="00FB2578">
        <w:rPr>
          <w:u w:val="none"/>
          <w:lang w:val="pt-PT"/>
        </w:rPr>
        <w:t xml:space="preserve"> </w:t>
      </w:r>
    </w:p>
    <w:p w14:paraId="08C5D3A5" w14:textId="77777777" w:rsidR="005B1006" w:rsidRPr="00FB2578" w:rsidRDefault="005B1006" w:rsidP="005B1006">
      <w:pPr>
        <w:spacing w:after="0" w:line="259" w:lineRule="auto"/>
        <w:ind w:firstLine="0"/>
        <w:rPr>
          <w:lang w:val="pt-PT"/>
        </w:rPr>
      </w:pPr>
      <w:r w:rsidRPr="00FB2578">
        <w:rPr>
          <w:lang w:val="pt-PT"/>
        </w:rPr>
        <w:t xml:space="preserve"> </w:t>
      </w:r>
    </w:p>
    <w:p w14:paraId="2855158B" w14:textId="77777777" w:rsidR="005B1006" w:rsidRPr="00FB2578" w:rsidRDefault="005B1006" w:rsidP="005B1006">
      <w:pPr>
        <w:spacing w:after="46"/>
        <w:ind w:left="-10" w:right="8"/>
        <w:rPr>
          <w:lang w:val="pt-PT"/>
        </w:rPr>
      </w:pPr>
      <w:r w:rsidRPr="00FB2578">
        <w:rPr>
          <w:lang w:val="pt-PT"/>
        </w:rPr>
        <w:t xml:space="preserve">Edoksabāns paaugstina asiņošanas risku un var izraisīt smagu, iespējami letālu asiņošanu. Ieteicams edoksabānu līdzīgi citiem antikoagulantiem īpaši uzmanīgi lietot pacientiem ar paaugstinātu asiņošanas risku. Edoksabāna lietošana jāpārtrauc, ja sākas nopietna asiņošana (skatīt 4.8. un </w:t>
      </w:r>
    </w:p>
    <w:p w14:paraId="63283C9A" w14:textId="77777777" w:rsidR="005B1006" w:rsidRPr="00FB2578" w:rsidRDefault="005B1006" w:rsidP="005B1006">
      <w:pPr>
        <w:ind w:left="-10" w:right="8"/>
        <w:rPr>
          <w:lang w:val="pt-PT"/>
        </w:rPr>
      </w:pPr>
      <w:r w:rsidRPr="00FB2578">
        <w:rPr>
          <w:lang w:val="pt-PT"/>
        </w:rPr>
        <w:t xml:space="preserve">4.9. apakšpunktu). </w:t>
      </w:r>
    </w:p>
    <w:p w14:paraId="19A9C840" w14:textId="77777777" w:rsidR="005B1006" w:rsidRPr="00FB2578" w:rsidRDefault="005B1006" w:rsidP="005B1006">
      <w:pPr>
        <w:spacing w:after="47" w:line="259" w:lineRule="auto"/>
        <w:ind w:firstLine="0"/>
        <w:rPr>
          <w:lang w:val="pt-PT"/>
        </w:rPr>
      </w:pPr>
      <w:r w:rsidRPr="00FB2578">
        <w:rPr>
          <w:lang w:val="pt-PT"/>
        </w:rPr>
        <w:t xml:space="preserve"> </w:t>
      </w:r>
    </w:p>
    <w:p w14:paraId="2173ECBC" w14:textId="77777777" w:rsidR="005B1006" w:rsidRPr="00FB2578" w:rsidRDefault="005B1006" w:rsidP="005B1006">
      <w:pPr>
        <w:ind w:left="-10" w:right="8"/>
        <w:rPr>
          <w:lang w:val="pt-PT"/>
        </w:rPr>
      </w:pPr>
      <w:r w:rsidRPr="00FB2578">
        <w:rPr>
          <w:lang w:val="pt-PT"/>
        </w:rPr>
        <w:t xml:space="preserve">Klīniskajos pētījumos gļotādas asiņošana (piemēram, deguna, kuņģa-zarnu trakta, uroģenitāla) un anēmija biežāk tika novērota ilgstošas edoksabāna terapijas laikā, salīdzinot ar KVA terapiju. Tādējādi tiek atzīts, ka papildus atbilstošai klīniskai novērošanai hemoglobīna/hematokrīta laboratorijas testi var būt lietderīgi, lai noteiktu slēptu asiņošanu. </w:t>
      </w:r>
    </w:p>
    <w:p w14:paraId="774DA596" w14:textId="77777777" w:rsidR="005B1006" w:rsidRPr="00FB2578" w:rsidRDefault="005B1006" w:rsidP="005B1006">
      <w:pPr>
        <w:spacing w:after="0" w:line="259" w:lineRule="auto"/>
        <w:ind w:firstLine="0"/>
        <w:rPr>
          <w:lang w:val="pt-PT"/>
        </w:rPr>
      </w:pPr>
      <w:r w:rsidRPr="00FB2578">
        <w:rPr>
          <w:lang w:val="pt-PT"/>
        </w:rPr>
        <w:t xml:space="preserve"> </w:t>
      </w:r>
    </w:p>
    <w:p w14:paraId="78D65BA8" w14:textId="77777777" w:rsidR="005B1006" w:rsidRPr="00FB2578" w:rsidRDefault="005B1006" w:rsidP="005B1006">
      <w:pPr>
        <w:spacing w:after="43"/>
        <w:ind w:left="-10" w:right="8"/>
        <w:rPr>
          <w:lang w:val="pt-PT"/>
        </w:rPr>
      </w:pPr>
      <w:r w:rsidRPr="00FB2578">
        <w:rPr>
          <w:lang w:val="pt-PT"/>
        </w:rPr>
        <w:t xml:space="preserve">Dažām pacientu apakšgrupām, kā tas sīkāk aprakstīts turpmāk, ir palielināts asiņošanas risks. Šie pacienti ir rūpīgi jānovēro, lai konstatētu asiņošanas un anēmijas pazīmes un simptomus pēc terapijas uzsākšanas (skatīt 4.8. apakšpunktu). Neizskaidrojamam hemoglobīna līmeņa vai asinsspiediena pazeminājumam jākalpo par norādi, ka jāmeklē asiņošanas vieta. </w:t>
      </w:r>
    </w:p>
    <w:p w14:paraId="52873916" w14:textId="77777777" w:rsidR="005B1006" w:rsidRPr="00FB2578" w:rsidRDefault="005B1006" w:rsidP="005B1006">
      <w:pPr>
        <w:spacing w:after="47" w:line="259" w:lineRule="auto"/>
        <w:ind w:firstLine="0"/>
        <w:rPr>
          <w:lang w:val="pt-PT"/>
        </w:rPr>
      </w:pPr>
      <w:r w:rsidRPr="00FB2578">
        <w:rPr>
          <w:lang w:val="pt-PT"/>
        </w:rPr>
        <w:t xml:space="preserve"> </w:t>
      </w:r>
    </w:p>
    <w:p w14:paraId="28A5E0FA" w14:textId="77777777" w:rsidR="005B1006" w:rsidRPr="00FB2578" w:rsidRDefault="005B1006" w:rsidP="005B1006">
      <w:pPr>
        <w:spacing w:after="34"/>
        <w:ind w:left="-10" w:right="8"/>
        <w:rPr>
          <w:lang w:val="pt-PT"/>
        </w:rPr>
      </w:pPr>
      <w:r w:rsidRPr="00FB2578">
        <w:rPr>
          <w:lang w:val="pt-PT"/>
        </w:rPr>
        <w:t xml:space="preserve">Edoksabāna antikoagulanta iedarbība nav precīzi kontrolējama ar standarta laboratorijas testiem.  Edoksabānam specifisks pretējas antikoagulācijas iedarbības līdzeklis nav pieejams (skatīt </w:t>
      </w:r>
    </w:p>
    <w:p w14:paraId="7EB4A471" w14:textId="77777777" w:rsidR="005B1006" w:rsidRPr="00FB2578" w:rsidRDefault="005B1006" w:rsidP="005B1006">
      <w:pPr>
        <w:ind w:left="-10" w:right="8"/>
        <w:rPr>
          <w:lang w:val="pt-PT"/>
        </w:rPr>
      </w:pPr>
      <w:r w:rsidRPr="00FB2578">
        <w:rPr>
          <w:lang w:val="pt-PT"/>
        </w:rPr>
        <w:t xml:space="preserve">4.9. apakšpunktu). </w:t>
      </w:r>
    </w:p>
    <w:p w14:paraId="73158A25" w14:textId="77777777" w:rsidR="005B1006" w:rsidRPr="00FB2578" w:rsidRDefault="005B1006" w:rsidP="005B1006">
      <w:pPr>
        <w:spacing w:after="46" w:line="259" w:lineRule="auto"/>
        <w:ind w:left="3" w:firstLine="0"/>
        <w:rPr>
          <w:lang w:val="pt-PT"/>
        </w:rPr>
      </w:pPr>
      <w:r w:rsidRPr="00FB2578">
        <w:rPr>
          <w:lang w:val="pt-PT"/>
        </w:rPr>
        <w:t xml:space="preserve"> </w:t>
      </w:r>
    </w:p>
    <w:p w14:paraId="1C619A77" w14:textId="77777777" w:rsidR="005B1006" w:rsidRPr="00FB2578" w:rsidRDefault="005B1006" w:rsidP="005B1006">
      <w:pPr>
        <w:ind w:left="-10" w:right="8"/>
        <w:rPr>
          <w:lang w:val="pt-PT"/>
        </w:rPr>
      </w:pPr>
      <w:r w:rsidRPr="00FB2578">
        <w:rPr>
          <w:lang w:val="pt-PT"/>
        </w:rPr>
        <w:t xml:space="preserve">Hemodialīze nozīmīgi neveicina edoksabāna klīrensu (skatīt 5.2. apakšpunktu). </w:t>
      </w:r>
    </w:p>
    <w:p w14:paraId="676F85CB" w14:textId="77777777" w:rsidR="005B1006" w:rsidRPr="00FB2578" w:rsidRDefault="005B1006" w:rsidP="005B1006">
      <w:pPr>
        <w:spacing w:after="44" w:line="259" w:lineRule="auto"/>
        <w:ind w:left="3" w:firstLine="0"/>
        <w:rPr>
          <w:lang w:val="pt-PT"/>
        </w:rPr>
      </w:pPr>
      <w:r w:rsidRPr="00FB2578">
        <w:rPr>
          <w:i/>
          <w:lang w:val="pt-PT"/>
        </w:rPr>
        <w:t xml:space="preserve"> </w:t>
      </w:r>
    </w:p>
    <w:p w14:paraId="3C6CB049" w14:textId="77777777" w:rsidR="005B1006" w:rsidRPr="00FB2578" w:rsidRDefault="005B1006" w:rsidP="005B1006">
      <w:pPr>
        <w:pStyle w:val="Heading2"/>
        <w:ind w:left="0"/>
        <w:rPr>
          <w:lang w:val="pt-PT"/>
        </w:rPr>
      </w:pPr>
      <w:r w:rsidRPr="00FB2578">
        <w:rPr>
          <w:lang w:val="pt-PT"/>
        </w:rPr>
        <w:t>Gados vecāki cilvēki</w:t>
      </w:r>
      <w:r w:rsidRPr="00FB2578">
        <w:rPr>
          <w:u w:val="none"/>
          <w:lang w:val="pt-PT"/>
        </w:rPr>
        <w:t xml:space="preserve"> </w:t>
      </w:r>
    </w:p>
    <w:p w14:paraId="30B3BDCE" w14:textId="77777777" w:rsidR="005B1006" w:rsidRPr="00FB2578" w:rsidRDefault="005B1006" w:rsidP="005B1006">
      <w:pPr>
        <w:spacing w:after="46" w:line="259" w:lineRule="auto"/>
        <w:ind w:firstLine="0"/>
        <w:rPr>
          <w:lang w:val="pt-PT"/>
        </w:rPr>
      </w:pPr>
      <w:r w:rsidRPr="00FB2578">
        <w:rPr>
          <w:lang w:val="pt-PT"/>
        </w:rPr>
        <w:t xml:space="preserve"> </w:t>
      </w:r>
    </w:p>
    <w:p w14:paraId="7A856724" w14:textId="77777777" w:rsidR="005B1006" w:rsidRPr="00FB2578" w:rsidRDefault="005B1006" w:rsidP="005B1006">
      <w:pPr>
        <w:spacing w:line="321" w:lineRule="auto"/>
        <w:ind w:left="-10" w:right="8"/>
        <w:rPr>
          <w:lang w:val="pt-PT"/>
        </w:rPr>
      </w:pPr>
      <w:r w:rsidRPr="00FB2578">
        <w:rPr>
          <w:lang w:val="pt-PT"/>
        </w:rPr>
        <w:t xml:space="preserve">Edoksabāna un acetilsalicilskābes (ASS) vienlaicīga lietošana gados vecākiem pacientiem jāizvērtē piesardzīgi, jo ir potenciāli lielāks asiņošanas risks (skatīt 4.5. apakšpunktu). </w:t>
      </w:r>
    </w:p>
    <w:p w14:paraId="6AD2D214" w14:textId="77777777" w:rsidR="005B1006" w:rsidRPr="00FB2578" w:rsidRDefault="005B1006" w:rsidP="005B1006">
      <w:pPr>
        <w:spacing w:after="46" w:line="259" w:lineRule="auto"/>
        <w:ind w:firstLine="0"/>
        <w:rPr>
          <w:lang w:val="pt-PT"/>
        </w:rPr>
      </w:pPr>
      <w:r w:rsidRPr="00FB2578">
        <w:rPr>
          <w:lang w:val="pt-PT"/>
        </w:rPr>
        <w:t xml:space="preserve"> </w:t>
      </w:r>
    </w:p>
    <w:p w14:paraId="34D228CD" w14:textId="77777777" w:rsidR="005B1006" w:rsidRPr="00FB2578" w:rsidRDefault="005B1006" w:rsidP="005B1006">
      <w:pPr>
        <w:pStyle w:val="Heading2"/>
        <w:ind w:left="0"/>
        <w:rPr>
          <w:lang w:val="pt-PT"/>
        </w:rPr>
      </w:pPr>
      <w:r w:rsidRPr="00FB2578">
        <w:rPr>
          <w:lang w:val="pt-PT"/>
        </w:rPr>
        <w:t>Nieru darbības traucējumi</w:t>
      </w:r>
      <w:r w:rsidRPr="00FB2578">
        <w:rPr>
          <w:u w:val="none"/>
          <w:lang w:val="pt-PT"/>
        </w:rPr>
        <w:t xml:space="preserve"> </w:t>
      </w:r>
    </w:p>
    <w:p w14:paraId="7D740AB9" w14:textId="77777777" w:rsidR="005B1006" w:rsidRPr="00FB2578" w:rsidRDefault="005B1006" w:rsidP="005B1006">
      <w:pPr>
        <w:spacing w:after="41" w:line="259" w:lineRule="auto"/>
        <w:ind w:firstLine="0"/>
        <w:rPr>
          <w:lang w:val="pt-PT"/>
        </w:rPr>
      </w:pPr>
      <w:r w:rsidRPr="00FB2578">
        <w:rPr>
          <w:lang w:val="pt-PT"/>
        </w:rPr>
        <w:t xml:space="preserve"> </w:t>
      </w:r>
    </w:p>
    <w:p w14:paraId="67CC5BA2" w14:textId="77777777" w:rsidR="005B1006" w:rsidRPr="00FB2578" w:rsidRDefault="005B1006" w:rsidP="005B1006">
      <w:pPr>
        <w:ind w:left="-10" w:right="8"/>
        <w:rPr>
          <w:lang w:val="pt-PT"/>
        </w:rPr>
      </w:pPr>
      <w:r w:rsidRPr="00FB2578">
        <w:rPr>
          <w:lang w:val="pt-PT"/>
        </w:rPr>
        <w:t xml:space="preserve">Plazmas laukums zem līknes (AUC) pacientiem ar viegliem (CrCl &gt;50–80 ml/min), vidēji smagiem (CrCl 30–50 ml/min) un smagiem (CrCl &lt;30 ml/min, bet netiek veikta dialīze) nieru darbības traucējumiem bija attiecīgi par 32%, 74% un 72% lielāks nekā pacientiem ar normālu nieru darbību (informāciju par devu samazināšanu skatīt 4.2. apakšpunktā). </w:t>
      </w:r>
    </w:p>
    <w:p w14:paraId="25E43C95" w14:textId="77777777" w:rsidR="005B1006" w:rsidRPr="00FB2578" w:rsidRDefault="005B1006" w:rsidP="005B1006">
      <w:pPr>
        <w:spacing w:after="47" w:line="259" w:lineRule="auto"/>
        <w:ind w:firstLine="0"/>
        <w:rPr>
          <w:lang w:val="pt-PT"/>
        </w:rPr>
      </w:pPr>
      <w:r w:rsidRPr="00FB2578">
        <w:rPr>
          <w:lang w:val="pt-PT"/>
        </w:rPr>
        <w:t xml:space="preserve"> </w:t>
      </w:r>
    </w:p>
    <w:p w14:paraId="3FF4D4BB" w14:textId="77777777" w:rsidR="005B1006" w:rsidRPr="00FB2578" w:rsidRDefault="005B1006" w:rsidP="005B1006">
      <w:pPr>
        <w:spacing w:after="53"/>
        <w:ind w:left="-10" w:right="8"/>
        <w:rPr>
          <w:lang w:val="pt-PT"/>
        </w:rPr>
      </w:pPr>
      <w:r w:rsidRPr="00FB2578">
        <w:rPr>
          <w:lang w:val="pt-PT"/>
        </w:rPr>
        <w:t xml:space="preserve">Pacientiem ar terminālu nieru mazspēju vai kam veic dialīzi, Lixiana nav ieteicams (skatīt 4.2. un </w:t>
      </w:r>
    </w:p>
    <w:p w14:paraId="2E91D10B" w14:textId="77777777" w:rsidR="005B1006" w:rsidRPr="00FB2578" w:rsidRDefault="005B1006" w:rsidP="005B1006">
      <w:pPr>
        <w:ind w:left="-10" w:right="8"/>
        <w:rPr>
          <w:lang w:val="pt-PT"/>
        </w:rPr>
      </w:pPr>
      <w:r w:rsidRPr="00FB2578">
        <w:rPr>
          <w:lang w:val="pt-PT"/>
        </w:rPr>
        <w:t xml:space="preserve">5.2. apakšpunktu). </w:t>
      </w:r>
    </w:p>
    <w:p w14:paraId="2B0D54EF" w14:textId="77777777" w:rsidR="005B1006" w:rsidRPr="00FB2578" w:rsidRDefault="005B1006" w:rsidP="005B1006">
      <w:pPr>
        <w:spacing w:after="0" w:line="259" w:lineRule="auto"/>
        <w:ind w:firstLine="0"/>
        <w:rPr>
          <w:lang w:val="pt-PT"/>
        </w:rPr>
      </w:pPr>
      <w:r w:rsidRPr="00FB2578">
        <w:rPr>
          <w:lang w:val="pt-PT"/>
        </w:rPr>
        <w:t xml:space="preserve"> </w:t>
      </w:r>
    </w:p>
    <w:p w14:paraId="398028AB" w14:textId="77777777" w:rsidR="005B1006" w:rsidRPr="00FB2578" w:rsidRDefault="005B1006" w:rsidP="005B1006">
      <w:pPr>
        <w:spacing w:after="66" w:line="259" w:lineRule="auto"/>
        <w:ind w:left="-1" w:hanging="10"/>
        <w:rPr>
          <w:lang w:val="pt-PT"/>
        </w:rPr>
      </w:pPr>
      <w:r w:rsidRPr="00FB2578">
        <w:rPr>
          <w:i/>
          <w:u w:val="single" w:color="000000"/>
          <w:lang w:val="pt-PT"/>
        </w:rPr>
        <w:t>Nieru darbība NVPM</w:t>
      </w:r>
      <w:r w:rsidRPr="00FB2578">
        <w:rPr>
          <w:i/>
          <w:lang w:val="pt-PT"/>
        </w:rPr>
        <w:t xml:space="preserve"> </w:t>
      </w:r>
    </w:p>
    <w:p w14:paraId="04A50BC8" w14:textId="77777777" w:rsidR="005B1006" w:rsidRPr="00FB2578" w:rsidRDefault="005B1006" w:rsidP="005B1006">
      <w:pPr>
        <w:spacing w:line="319" w:lineRule="auto"/>
        <w:ind w:left="-10" w:right="8"/>
        <w:rPr>
          <w:lang w:val="pt-PT"/>
        </w:rPr>
      </w:pPr>
      <w:r w:rsidRPr="00FB2578">
        <w:rPr>
          <w:lang w:val="pt-PT"/>
        </w:rPr>
        <w:t xml:space="preserve">Tika novērots, ka, salīdzinot ar labi kontrolētu varfarīna terapiju, edoksabāna efektivitāte, palielinoties CrCl, samazinājās (skatīt 5.1. apakšpunktu, pētījums „ENGAGE AF-TIMI 48” un papildu dati no pētījuma „E314” un „ETNA-AF”).  </w:t>
      </w:r>
    </w:p>
    <w:p w14:paraId="4AC19B19" w14:textId="77777777" w:rsidR="005B1006" w:rsidRPr="00FB2578" w:rsidRDefault="005B1006" w:rsidP="005B1006">
      <w:pPr>
        <w:spacing w:line="322" w:lineRule="auto"/>
        <w:ind w:left="-10" w:right="8"/>
        <w:rPr>
          <w:lang w:val="pt-PT"/>
        </w:rPr>
      </w:pPr>
      <w:r w:rsidRPr="00FB2578">
        <w:rPr>
          <w:lang w:val="pt-PT"/>
        </w:rPr>
        <w:t xml:space="preserve">Edoksabāns pacientiem ar NVPM un augstu CrCl ir jālieto tikai pēc rūpīgas individuālas trombembolijas un asiņošanas riska izvērtēšanas. </w:t>
      </w:r>
    </w:p>
    <w:p w14:paraId="0067E4B4" w14:textId="77777777" w:rsidR="005B1006" w:rsidRPr="00FB2578" w:rsidRDefault="005B1006" w:rsidP="005B1006">
      <w:pPr>
        <w:spacing w:after="46" w:line="259" w:lineRule="auto"/>
        <w:ind w:firstLine="0"/>
        <w:rPr>
          <w:lang w:val="pt-PT"/>
        </w:rPr>
      </w:pPr>
      <w:r w:rsidRPr="00FB2578">
        <w:rPr>
          <w:lang w:val="pt-PT"/>
        </w:rPr>
        <w:t xml:space="preserve"> </w:t>
      </w:r>
    </w:p>
    <w:p w14:paraId="2CBD7FF8" w14:textId="77777777" w:rsidR="005B1006" w:rsidRPr="00FB2578" w:rsidRDefault="005B1006" w:rsidP="005B1006">
      <w:pPr>
        <w:spacing w:line="320" w:lineRule="auto"/>
        <w:ind w:left="-10" w:right="8"/>
        <w:rPr>
          <w:lang w:val="pt-PT"/>
        </w:rPr>
      </w:pPr>
      <w:r w:rsidRPr="00FB2578">
        <w:rPr>
          <w:lang w:val="pt-PT"/>
        </w:rPr>
        <w:t xml:space="preserve">Nieru darbības novērtēšana: CrCl ir jākontrolē visiem pacientiem terapijas sākumā un pēc tam, kad klīniski indicēts (skatīt 4.2. apakšpunktu). </w:t>
      </w:r>
    </w:p>
    <w:p w14:paraId="7CE317DF" w14:textId="77777777" w:rsidR="005B1006" w:rsidRPr="00FB2578" w:rsidRDefault="005B1006" w:rsidP="005B1006">
      <w:pPr>
        <w:spacing w:after="46" w:line="259" w:lineRule="auto"/>
        <w:ind w:left="3" w:firstLine="0"/>
        <w:rPr>
          <w:lang w:val="pt-PT"/>
        </w:rPr>
      </w:pPr>
      <w:r w:rsidRPr="00FB2578">
        <w:rPr>
          <w:lang w:val="pt-PT"/>
        </w:rPr>
        <w:t xml:space="preserve"> </w:t>
      </w:r>
    </w:p>
    <w:p w14:paraId="2F17B8E1" w14:textId="77777777" w:rsidR="005B1006" w:rsidRPr="00FB2578" w:rsidRDefault="005B1006" w:rsidP="005B1006">
      <w:pPr>
        <w:pStyle w:val="Heading2"/>
        <w:ind w:left="0"/>
        <w:rPr>
          <w:lang w:val="pt-PT"/>
        </w:rPr>
      </w:pPr>
      <w:r w:rsidRPr="00FB2578">
        <w:rPr>
          <w:lang w:val="pt-PT"/>
        </w:rPr>
        <w:t>Aknu darbības traucējumi</w:t>
      </w:r>
      <w:r w:rsidRPr="00FB2578">
        <w:rPr>
          <w:u w:val="none"/>
          <w:lang w:val="pt-PT"/>
        </w:rPr>
        <w:t xml:space="preserve"> </w:t>
      </w:r>
    </w:p>
    <w:p w14:paraId="3C1C54BF" w14:textId="77777777" w:rsidR="005B1006" w:rsidRPr="00FB2578" w:rsidRDefault="005B1006" w:rsidP="005B1006">
      <w:pPr>
        <w:spacing w:after="46" w:line="259" w:lineRule="auto"/>
        <w:ind w:firstLine="0"/>
        <w:rPr>
          <w:lang w:val="pt-PT"/>
        </w:rPr>
      </w:pPr>
      <w:r w:rsidRPr="00FB2578">
        <w:rPr>
          <w:lang w:val="pt-PT"/>
        </w:rPr>
        <w:t xml:space="preserve"> </w:t>
      </w:r>
    </w:p>
    <w:p w14:paraId="25EC0864" w14:textId="77777777" w:rsidR="005B1006" w:rsidRPr="00FB2578" w:rsidRDefault="005B1006" w:rsidP="005B1006">
      <w:pPr>
        <w:spacing w:after="54"/>
        <w:ind w:left="-10" w:right="8"/>
        <w:rPr>
          <w:lang w:val="pt-PT"/>
        </w:rPr>
      </w:pPr>
      <w:r w:rsidRPr="00FB2578">
        <w:rPr>
          <w:lang w:val="pt-PT"/>
        </w:rPr>
        <w:t xml:space="preserve">Pacientiem ar smagiem aknu darbības traucējumiem edoksabāns nav ieteicams (skatīt 4.2. un </w:t>
      </w:r>
    </w:p>
    <w:p w14:paraId="6B0AB878" w14:textId="77777777" w:rsidR="005B1006" w:rsidRPr="00FB2578" w:rsidRDefault="005B1006" w:rsidP="005B1006">
      <w:pPr>
        <w:ind w:left="-10" w:right="8"/>
        <w:rPr>
          <w:lang w:val="pt-PT"/>
        </w:rPr>
      </w:pPr>
      <w:r w:rsidRPr="00FB2578">
        <w:rPr>
          <w:lang w:val="pt-PT"/>
        </w:rPr>
        <w:t xml:space="preserve">5.2. apakšpunktu). </w:t>
      </w:r>
    </w:p>
    <w:p w14:paraId="1553D320" w14:textId="77777777" w:rsidR="005B1006" w:rsidRPr="00FB2578" w:rsidRDefault="005B1006" w:rsidP="005B1006">
      <w:pPr>
        <w:spacing w:after="46" w:line="259" w:lineRule="auto"/>
        <w:ind w:firstLine="0"/>
        <w:rPr>
          <w:lang w:val="pt-PT"/>
        </w:rPr>
      </w:pPr>
      <w:r w:rsidRPr="00FB2578">
        <w:rPr>
          <w:lang w:val="pt-PT"/>
        </w:rPr>
        <w:t xml:space="preserve"> </w:t>
      </w:r>
    </w:p>
    <w:p w14:paraId="4BD72C18" w14:textId="77777777" w:rsidR="005B1006" w:rsidRPr="00FB2578" w:rsidRDefault="005B1006" w:rsidP="005B1006">
      <w:pPr>
        <w:spacing w:line="319" w:lineRule="auto"/>
        <w:ind w:left="-10" w:right="8"/>
        <w:rPr>
          <w:lang w:val="pt-PT"/>
        </w:rPr>
      </w:pPr>
      <w:r w:rsidRPr="00FB2578">
        <w:rPr>
          <w:lang w:val="pt-PT"/>
        </w:rPr>
        <w:t xml:space="preserve">Pacientiem ar viegliem līdz vidēji smagiem aknu darbības traucējumiem edoksabāns jālieto piesardzīgi (skatīt 4.2. apakšpunktu). </w:t>
      </w:r>
    </w:p>
    <w:p w14:paraId="18C37AC6" w14:textId="77777777" w:rsidR="005B1006" w:rsidRPr="00FB2578" w:rsidRDefault="005B1006" w:rsidP="005B1006">
      <w:pPr>
        <w:spacing w:after="44" w:line="259" w:lineRule="auto"/>
        <w:ind w:left="3" w:firstLine="0"/>
        <w:rPr>
          <w:lang w:val="pt-PT"/>
        </w:rPr>
      </w:pPr>
      <w:r w:rsidRPr="00FB2578">
        <w:rPr>
          <w:lang w:val="pt-PT"/>
        </w:rPr>
        <w:t xml:space="preserve"> </w:t>
      </w:r>
    </w:p>
    <w:p w14:paraId="1E49C08B" w14:textId="77777777" w:rsidR="005B1006" w:rsidRPr="00FB2578" w:rsidRDefault="005B1006" w:rsidP="005B1006">
      <w:pPr>
        <w:spacing w:line="320" w:lineRule="auto"/>
        <w:ind w:left="-10" w:right="8"/>
        <w:rPr>
          <w:lang w:val="pt-PT"/>
        </w:rPr>
      </w:pPr>
      <w:r w:rsidRPr="00FB2578">
        <w:rPr>
          <w:lang w:val="pt-PT"/>
        </w:rPr>
        <w:t xml:space="preserve">Pacienti ar paaugstinātiem aknu enzīmu (ALT/AST &gt;2 x ULN) vai kopējā bilirubīna ≥1,5 x ULN rādītājiem tika izslēgti no klīniskajiem pētījumiem. Tāpēc šajā populācijā edoksabāns jālieto piesardzīgi (skatīt 4.4. un 5.2. apakšpunktu). Pirms edoksabāna izvēles ārstēšanai jāpārbauda aknu funkciju rādītāji. </w:t>
      </w:r>
    </w:p>
    <w:p w14:paraId="0E6C5A55" w14:textId="77777777" w:rsidR="005B1006" w:rsidRPr="00FB2578" w:rsidRDefault="005B1006" w:rsidP="005B1006">
      <w:pPr>
        <w:ind w:left="-10" w:right="8"/>
        <w:rPr>
          <w:lang w:val="pt-PT"/>
        </w:rPr>
      </w:pPr>
      <w:r w:rsidRPr="00FB2578">
        <w:rPr>
          <w:lang w:val="pt-PT"/>
        </w:rPr>
        <w:t xml:space="preserve">Pacientiem pēc ārstēšanas ar edoksabānu 1 gadu ieteicama periodiska aknu funkciju kontrole. </w:t>
      </w:r>
    </w:p>
    <w:p w14:paraId="6DD22D71" w14:textId="77777777" w:rsidR="005B1006" w:rsidRPr="00FB2578" w:rsidRDefault="005B1006" w:rsidP="005B1006">
      <w:pPr>
        <w:spacing w:after="47" w:line="259" w:lineRule="auto"/>
        <w:ind w:left="3" w:firstLine="0"/>
        <w:rPr>
          <w:lang w:val="pt-PT"/>
        </w:rPr>
      </w:pPr>
      <w:r w:rsidRPr="00FB2578">
        <w:rPr>
          <w:lang w:val="pt-PT"/>
        </w:rPr>
        <w:t xml:space="preserve"> </w:t>
      </w:r>
    </w:p>
    <w:p w14:paraId="33263B97" w14:textId="77777777" w:rsidR="005B1006" w:rsidRPr="00FB2578" w:rsidRDefault="005B1006" w:rsidP="005B1006">
      <w:pPr>
        <w:pStyle w:val="Heading2"/>
        <w:ind w:left="0"/>
        <w:rPr>
          <w:lang w:val="pt-PT"/>
        </w:rPr>
      </w:pPr>
      <w:r w:rsidRPr="00FB2578">
        <w:rPr>
          <w:lang w:val="pt-PT"/>
        </w:rPr>
        <w:t>Zāļu lietošanas pārtraukšana ķirurģisku operāciju un citu manipulāciju gadījumā</w:t>
      </w:r>
      <w:r w:rsidRPr="00FB2578">
        <w:rPr>
          <w:u w:val="none"/>
          <w:lang w:val="pt-PT"/>
        </w:rPr>
        <w:t xml:space="preserve"> </w:t>
      </w:r>
    </w:p>
    <w:p w14:paraId="5CC8ED4A" w14:textId="77777777" w:rsidR="005B1006" w:rsidRPr="00FB2578" w:rsidRDefault="005B1006" w:rsidP="005B1006">
      <w:pPr>
        <w:spacing w:after="0" w:line="259" w:lineRule="auto"/>
        <w:ind w:firstLine="0"/>
        <w:rPr>
          <w:lang w:val="pt-PT"/>
        </w:rPr>
      </w:pPr>
      <w:r w:rsidRPr="00FB2578">
        <w:rPr>
          <w:lang w:val="pt-PT"/>
        </w:rPr>
        <w:t xml:space="preserve"> </w:t>
      </w:r>
    </w:p>
    <w:p w14:paraId="23441D21" w14:textId="77777777" w:rsidR="005B1006" w:rsidRPr="00FB2578" w:rsidRDefault="005B1006" w:rsidP="005B1006">
      <w:pPr>
        <w:spacing w:after="39"/>
        <w:ind w:left="-10" w:right="8"/>
        <w:rPr>
          <w:lang w:val="pt-PT"/>
        </w:rPr>
      </w:pPr>
      <w:r w:rsidRPr="00FB2578">
        <w:rPr>
          <w:lang w:val="pt-PT"/>
        </w:rPr>
        <w:t xml:space="preserve">Ja antikoagulantu terapija jāpārtrauc, lai mazinātu asiņošanas risku ķirurģisku vai citu procedūru gadījumā, edoksabāna lietošana jāpārtrauc iespējami drīzāk un, ieteicams, vismaz 24 stundas pirms procedūras. </w:t>
      </w:r>
    </w:p>
    <w:p w14:paraId="071E4E63" w14:textId="77777777" w:rsidR="005B1006" w:rsidRPr="00FB2578" w:rsidRDefault="005B1006" w:rsidP="005B1006">
      <w:pPr>
        <w:spacing w:after="45" w:line="259" w:lineRule="auto"/>
        <w:ind w:firstLine="0"/>
        <w:rPr>
          <w:lang w:val="pt-PT"/>
        </w:rPr>
      </w:pPr>
      <w:r w:rsidRPr="00FB2578">
        <w:rPr>
          <w:lang w:val="pt-PT"/>
        </w:rPr>
        <w:t xml:space="preserve"> </w:t>
      </w:r>
    </w:p>
    <w:p w14:paraId="30B1E5D0" w14:textId="77777777" w:rsidR="005B1006" w:rsidRPr="00FB2578" w:rsidRDefault="005B1006" w:rsidP="005B1006">
      <w:pPr>
        <w:ind w:left="-10" w:right="8"/>
        <w:rPr>
          <w:lang w:val="pt-PT"/>
        </w:rPr>
      </w:pPr>
      <w:r w:rsidRPr="00FB2578">
        <w:rPr>
          <w:lang w:val="pt-PT"/>
        </w:rPr>
        <w:t xml:space="preserve">Lemjot par to, vai procedūra jāatliek, līdz būs pagājušas 24 stundas pēc pēdējās edoksabāna devas, jāizvērtē palielinātais asiņošanas risks attiecībā pret manipulācijas neatliekamību. Edoksabāna lietošana jāatsāk pēc iespējas ātrāk pēc ķirurģiskās vai citas procedūras, tiklīdz ir nodrošināta pietiekoša hemostāze, ņemot vērā, ka laiks līdz edoksabāna antikoagulanta terapeitiskās iedarbības sākumam ir 1–2 stundas. Ja ķirurģiskās manipulācijas laikā vai pēc tās iekšķīgi lietojamas zāles nevar lietot, jāapsver parenterāla antikoagulanta ievadīšana un pēc tam jāpāriet uz iekšķīgu edoksabāna lietošanu vienreiz dienā (skatīt 4.2. apakšpunktu). </w:t>
      </w:r>
    </w:p>
    <w:p w14:paraId="33CA18BB" w14:textId="77777777" w:rsidR="005B1006" w:rsidRPr="00FB2578" w:rsidRDefault="005B1006" w:rsidP="005B1006">
      <w:pPr>
        <w:spacing w:after="46" w:line="259" w:lineRule="auto"/>
        <w:ind w:firstLine="0"/>
        <w:rPr>
          <w:lang w:val="pt-PT"/>
        </w:rPr>
      </w:pPr>
      <w:r w:rsidRPr="00FB2578">
        <w:rPr>
          <w:lang w:val="pt-PT"/>
        </w:rPr>
        <w:t xml:space="preserve"> </w:t>
      </w:r>
    </w:p>
    <w:p w14:paraId="6B23924D" w14:textId="77777777" w:rsidR="005B1006" w:rsidRPr="00FB2578" w:rsidRDefault="005B1006" w:rsidP="005B1006">
      <w:pPr>
        <w:pStyle w:val="Heading2"/>
        <w:ind w:left="0"/>
        <w:rPr>
          <w:lang w:val="pt-PT"/>
        </w:rPr>
      </w:pPr>
      <w:r w:rsidRPr="00FB2578">
        <w:rPr>
          <w:lang w:val="pt-PT"/>
        </w:rPr>
        <w:t>Mijiedarbība ar citām zālēm, kas ietekmē hemostāzi</w:t>
      </w:r>
      <w:r w:rsidRPr="00FB2578">
        <w:rPr>
          <w:u w:val="none"/>
          <w:lang w:val="pt-PT"/>
        </w:rPr>
        <w:t xml:space="preserve"> </w:t>
      </w:r>
    </w:p>
    <w:p w14:paraId="4EB0820B" w14:textId="77777777" w:rsidR="005B1006" w:rsidRPr="00FB2578" w:rsidRDefault="005B1006" w:rsidP="005B1006">
      <w:pPr>
        <w:spacing w:after="0" w:line="259" w:lineRule="auto"/>
        <w:ind w:firstLine="0"/>
        <w:rPr>
          <w:lang w:val="pt-PT"/>
        </w:rPr>
      </w:pPr>
      <w:r w:rsidRPr="00FB2578">
        <w:rPr>
          <w:lang w:val="pt-PT"/>
        </w:rPr>
        <w:t xml:space="preserve"> </w:t>
      </w:r>
    </w:p>
    <w:p w14:paraId="6479B364" w14:textId="77777777" w:rsidR="005B1006" w:rsidRPr="00FB2578" w:rsidRDefault="005B1006" w:rsidP="005B1006">
      <w:pPr>
        <w:spacing w:after="44"/>
        <w:ind w:left="-10" w:right="8"/>
        <w:rPr>
          <w:lang w:val="pt-PT"/>
        </w:rPr>
      </w:pPr>
      <w:r w:rsidRPr="00FB2578">
        <w:rPr>
          <w:lang w:val="pt-PT"/>
        </w:rPr>
        <w:t>Hemostāzi ietekmējošu zāļu vienlaikus lietošana var paaugstināt asiņošanas risku. Tās ir, piemēram, ASS, P2Y</w:t>
      </w:r>
      <w:r w:rsidRPr="00FB2578">
        <w:rPr>
          <w:vertAlign w:val="subscript"/>
          <w:lang w:val="pt-PT"/>
        </w:rPr>
        <w:t>12</w:t>
      </w:r>
      <w:r w:rsidRPr="00FB2578">
        <w:rPr>
          <w:lang w:val="pt-PT"/>
        </w:rPr>
        <w:t xml:space="preserve"> trombocītu inhibitori, citi antitrombotiskie līdzekļi, fibrinolītiskie līdzekļi, selektīvie serotonīna atpakaļsaistīšanas inhibitori (</w:t>
      </w:r>
      <w:r w:rsidRPr="00FB2578">
        <w:rPr>
          <w:i/>
          <w:lang w:val="pt-PT"/>
        </w:rPr>
        <w:t>SSRI</w:t>
      </w:r>
      <w:r w:rsidRPr="00FB2578">
        <w:rPr>
          <w:lang w:val="pt-PT"/>
        </w:rPr>
        <w:t>) vai serotonīna–norepinefrīna atpakaļsaistīšanas inhibitori (</w:t>
      </w:r>
      <w:r w:rsidRPr="00FB2578">
        <w:rPr>
          <w:i/>
          <w:lang w:val="pt-PT"/>
        </w:rPr>
        <w:t>SNRI</w:t>
      </w:r>
      <w:r w:rsidRPr="00FB2578">
        <w:rPr>
          <w:lang w:val="pt-PT"/>
        </w:rPr>
        <w:t xml:space="preserve">) un pastāvīgi lietojami nesteroīdie pretiekaisuma līdzekļi (NSPL) (skatīt </w:t>
      </w:r>
    </w:p>
    <w:p w14:paraId="2BE3E38A" w14:textId="77777777" w:rsidR="005B1006" w:rsidRPr="00FB2578" w:rsidRDefault="005B1006" w:rsidP="005B1006">
      <w:pPr>
        <w:ind w:left="-10" w:right="8"/>
        <w:rPr>
          <w:lang w:val="pt-PT"/>
        </w:rPr>
      </w:pPr>
      <w:r w:rsidRPr="00FB2578">
        <w:rPr>
          <w:lang w:val="pt-PT"/>
        </w:rPr>
        <w:t xml:space="preserve">4.5. apakšpunktu). </w:t>
      </w:r>
    </w:p>
    <w:p w14:paraId="609CE14C" w14:textId="77777777" w:rsidR="005B1006" w:rsidRPr="00FB2578" w:rsidRDefault="005B1006" w:rsidP="005B1006">
      <w:pPr>
        <w:spacing w:after="46" w:line="259" w:lineRule="auto"/>
        <w:ind w:firstLine="0"/>
        <w:rPr>
          <w:lang w:val="pt-PT"/>
        </w:rPr>
      </w:pPr>
      <w:r w:rsidRPr="00FB2578">
        <w:rPr>
          <w:i/>
          <w:lang w:val="pt-PT"/>
        </w:rPr>
        <w:t xml:space="preserve"> </w:t>
      </w:r>
    </w:p>
    <w:p w14:paraId="7D7C1B57" w14:textId="77777777" w:rsidR="005B1006" w:rsidRPr="00FB2578" w:rsidRDefault="005B1006" w:rsidP="005B1006">
      <w:pPr>
        <w:pStyle w:val="Heading2"/>
        <w:ind w:left="0"/>
        <w:rPr>
          <w:lang w:val="pt-PT"/>
        </w:rPr>
      </w:pPr>
      <w:r w:rsidRPr="00FB2578">
        <w:rPr>
          <w:lang w:val="pt-PT"/>
        </w:rPr>
        <w:t>Protezēti sirds vārstuļi un vidēji smaga līdz smaga mitrāla stenoze</w:t>
      </w:r>
      <w:r w:rsidRPr="00FB2578">
        <w:rPr>
          <w:u w:val="none"/>
          <w:lang w:val="pt-PT"/>
        </w:rPr>
        <w:t xml:space="preserve"> </w:t>
      </w:r>
    </w:p>
    <w:p w14:paraId="1D31C6AD" w14:textId="77777777" w:rsidR="005B1006" w:rsidRPr="00FB2578" w:rsidRDefault="005B1006" w:rsidP="005B1006">
      <w:pPr>
        <w:spacing w:after="47" w:line="259" w:lineRule="auto"/>
        <w:ind w:firstLine="0"/>
        <w:rPr>
          <w:lang w:val="pt-PT"/>
        </w:rPr>
      </w:pPr>
      <w:r w:rsidRPr="00FB2578">
        <w:rPr>
          <w:lang w:val="pt-PT"/>
        </w:rPr>
        <w:t xml:space="preserve"> </w:t>
      </w:r>
    </w:p>
    <w:p w14:paraId="199FAE3F" w14:textId="77777777" w:rsidR="005B1006" w:rsidRPr="00FB2578" w:rsidRDefault="005B1006" w:rsidP="005B1006">
      <w:pPr>
        <w:ind w:left="-10" w:right="8"/>
        <w:rPr>
          <w:lang w:val="pt-PT"/>
        </w:rPr>
      </w:pPr>
      <w:r w:rsidRPr="00FB2578">
        <w:rPr>
          <w:lang w:val="pt-PT"/>
        </w:rPr>
        <w:t xml:space="preserve">Edoksabāns nav pētīts pacientiem ar mehāniskiem sirds vārstuļiem, pacientiem pirmajos 3 mēnešos pēc bioprotezēta sirds vārstuļa implantācijas, ar priekškambaru mirgošanu vai bez tās, kā arī pacientiem ar vidēji smagu līdz smagu mitrālu stenozi. Tāpēc šiem pacientiem edoksabānu nav ieteicams lietot. </w:t>
      </w:r>
    </w:p>
    <w:p w14:paraId="1DEC60BC" w14:textId="77777777" w:rsidR="005B1006" w:rsidRPr="00FB2578" w:rsidRDefault="005B1006" w:rsidP="005B1006">
      <w:pPr>
        <w:spacing w:after="0" w:line="259" w:lineRule="auto"/>
        <w:ind w:firstLine="0"/>
        <w:rPr>
          <w:lang w:val="pt-PT"/>
        </w:rPr>
      </w:pPr>
      <w:r w:rsidRPr="00FB2578">
        <w:rPr>
          <w:lang w:val="pt-PT"/>
        </w:rPr>
        <w:t xml:space="preserve"> </w:t>
      </w:r>
    </w:p>
    <w:p w14:paraId="1047C878" w14:textId="77777777" w:rsidR="005B1006" w:rsidRPr="00FB2578" w:rsidRDefault="005B1006" w:rsidP="005B1006">
      <w:pPr>
        <w:pStyle w:val="Heading2"/>
        <w:spacing w:after="38"/>
        <w:ind w:left="0"/>
        <w:rPr>
          <w:lang w:val="pt-PT"/>
        </w:rPr>
      </w:pPr>
      <w:r w:rsidRPr="00FB2578">
        <w:rPr>
          <w:lang w:val="pt-PT"/>
        </w:rPr>
        <w:t>Hemodinamiski nestabili PE pacienti vai pacienti, kam nepieciešama trombolīze vai plaušu</w:t>
      </w:r>
      <w:r w:rsidRPr="00FB2578">
        <w:rPr>
          <w:u w:val="none"/>
          <w:lang w:val="pt-PT"/>
        </w:rPr>
        <w:t xml:space="preserve"> </w:t>
      </w:r>
      <w:r w:rsidRPr="00FB2578">
        <w:rPr>
          <w:lang w:val="pt-PT"/>
        </w:rPr>
        <w:t>embolektomija</w:t>
      </w:r>
      <w:r w:rsidRPr="00FB2578">
        <w:rPr>
          <w:u w:val="none"/>
          <w:lang w:val="pt-PT"/>
        </w:rPr>
        <w:t xml:space="preserve"> </w:t>
      </w:r>
    </w:p>
    <w:p w14:paraId="2CE2519A" w14:textId="77777777" w:rsidR="005B1006" w:rsidRPr="00FB2578" w:rsidRDefault="005B1006" w:rsidP="005B1006">
      <w:pPr>
        <w:spacing w:after="45" w:line="259" w:lineRule="auto"/>
        <w:ind w:firstLine="0"/>
        <w:rPr>
          <w:lang w:val="pt-PT"/>
        </w:rPr>
      </w:pPr>
      <w:r w:rsidRPr="00FB2578">
        <w:rPr>
          <w:lang w:val="pt-PT"/>
        </w:rPr>
        <w:t xml:space="preserve"> </w:t>
      </w:r>
    </w:p>
    <w:p w14:paraId="016148A8" w14:textId="77777777" w:rsidR="005B1006" w:rsidRPr="00FB2578" w:rsidRDefault="005B1006" w:rsidP="005B1006">
      <w:pPr>
        <w:ind w:left="-10" w:right="8"/>
        <w:rPr>
          <w:lang w:val="pt-PT"/>
        </w:rPr>
      </w:pPr>
      <w:r w:rsidRPr="00FB2578">
        <w:rPr>
          <w:lang w:val="pt-PT"/>
        </w:rPr>
        <w:t xml:space="preserve">Edoksabāns nav ieteicams kā alternatīva NFH pacientiem ar plaušu emboliju, kas ir hemodinamiski nestabili vai kam var veikt trombolīzi vai plaušu embolektomiju, jo edoksabāna drošums un efektivitāte šādās klīniskās situācijās nav pierādīta. </w:t>
      </w:r>
    </w:p>
    <w:p w14:paraId="0C2D01FE" w14:textId="77777777" w:rsidR="005B1006" w:rsidRPr="00FB2578" w:rsidRDefault="005B1006" w:rsidP="005B1006">
      <w:pPr>
        <w:spacing w:after="45" w:line="259" w:lineRule="auto"/>
        <w:ind w:firstLine="0"/>
        <w:rPr>
          <w:lang w:val="pt-PT"/>
        </w:rPr>
      </w:pPr>
      <w:r w:rsidRPr="00FB2578">
        <w:rPr>
          <w:lang w:val="pt-PT"/>
        </w:rPr>
        <w:t xml:space="preserve"> </w:t>
      </w:r>
    </w:p>
    <w:p w14:paraId="35B22027" w14:textId="77777777" w:rsidR="005B1006" w:rsidRPr="00FB2578" w:rsidRDefault="005B1006" w:rsidP="005B1006">
      <w:pPr>
        <w:pStyle w:val="Heading2"/>
        <w:ind w:left="0"/>
        <w:rPr>
          <w:lang w:val="pt-PT"/>
        </w:rPr>
      </w:pPr>
      <w:r w:rsidRPr="00FB2578">
        <w:rPr>
          <w:lang w:val="pt-PT"/>
        </w:rPr>
        <w:t>Pacienti ar aktīvu vēzi</w:t>
      </w:r>
      <w:r w:rsidRPr="00FB2578">
        <w:rPr>
          <w:u w:val="none"/>
          <w:lang w:val="pt-PT"/>
        </w:rPr>
        <w:t xml:space="preserve"> </w:t>
      </w:r>
    </w:p>
    <w:p w14:paraId="0D8843F6" w14:textId="77777777" w:rsidR="005B1006" w:rsidRPr="00FB2578" w:rsidRDefault="005B1006" w:rsidP="005B1006">
      <w:pPr>
        <w:spacing w:after="0" w:line="259" w:lineRule="auto"/>
        <w:ind w:firstLine="0"/>
        <w:rPr>
          <w:lang w:val="pt-PT"/>
        </w:rPr>
      </w:pPr>
      <w:r w:rsidRPr="00FB2578">
        <w:rPr>
          <w:lang w:val="pt-PT"/>
        </w:rPr>
        <w:t xml:space="preserve"> </w:t>
      </w:r>
    </w:p>
    <w:p w14:paraId="3FA3F09C" w14:textId="77777777" w:rsidR="005B1006" w:rsidRPr="00FB2578" w:rsidRDefault="005B1006" w:rsidP="005B1006">
      <w:pPr>
        <w:spacing w:after="28"/>
        <w:ind w:left="-10" w:right="8"/>
        <w:rPr>
          <w:lang w:val="pt-PT"/>
        </w:rPr>
      </w:pPr>
      <w:r w:rsidRPr="00FB2578">
        <w:rPr>
          <w:lang w:val="pt-PT"/>
        </w:rPr>
        <w:t xml:space="preserve">Edoksabāna efektivitāte un drošums VTE ārstēšanā un/vai profilaksē pacientiem ar aktīvu vēzi nav noteikts. </w:t>
      </w:r>
    </w:p>
    <w:p w14:paraId="0F526C03" w14:textId="77777777" w:rsidR="005B1006" w:rsidRPr="00FB2578" w:rsidRDefault="005B1006" w:rsidP="005B1006">
      <w:pPr>
        <w:spacing w:after="46" w:line="259" w:lineRule="auto"/>
        <w:ind w:firstLine="0"/>
        <w:rPr>
          <w:lang w:val="pt-PT"/>
        </w:rPr>
      </w:pPr>
      <w:r w:rsidRPr="00FB2578">
        <w:rPr>
          <w:lang w:val="pt-PT"/>
        </w:rPr>
        <w:t xml:space="preserve"> </w:t>
      </w:r>
    </w:p>
    <w:p w14:paraId="680672AC" w14:textId="77777777" w:rsidR="005B1006" w:rsidRPr="00FB2578" w:rsidRDefault="005B1006" w:rsidP="005B1006">
      <w:pPr>
        <w:pStyle w:val="Heading2"/>
        <w:ind w:left="0"/>
        <w:rPr>
          <w:lang w:val="pt-PT"/>
        </w:rPr>
      </w:pPr>
      <w:r w:rsidRPr="00FB2578">
        <w:rPr>
          <w:lang w:val="pt-PT"/>
        </w:rPr>
        <w:t>Pacienti ar antifosfolipīdu sindromu</w:t>
      </w:r>
      <w:r w:rsidRPr="00FB2578">
        <w:rPr>
          <w:u w:val="none"/>
          <w:lang w:val="pt-PT"/>
        </w:rPr>
        <w:t xml:space="preserve"> </w:t>
      </w:r>
    </w:p>
    <w:p w14:paraId="5A6A2A8B" w14:textId="77777777" w:rsidR="005B1006" w:rsidRPr="00FB2578" w:rsidRDefault="005B1006" w:rsidP="005B1006">
      <w:pPr>
        <w:spacing w:after="46" w:line="259" w:lineRule="auto"/>
        <w:ind w:firstLine="0"/>
        <w:rPr>
          <w:lang w:val="pt-PT"/>
        </w:rPr>
      </w:pPr>
      <w:r w:rsidRPr="00FB2578">
        <w:rPr>
          <w:lang w:val="pt-PT"/>
        </w:rPr>
        <w:t xml:space="preserve"> </w:t>
      </w:r>
    </w:p>
    <w:p w14:paraId="35EEEC37" w14:textId="77777777" w:rsidR="005B1006" w:rsidRPr="00FB2578" w:rsidRDefault="005B1006" w:rsidP="005B1006">
      <w:pPr>
        <w:ind w:left="-10" w:right="193"/>
        <w:rPr>
          <w:lang w:val="pt-PT"/>
        </w:rPr>
      </w:pPr>
      <w:r w:rsidRPr="00FB2578">
        <w:rPr>
          <w:lang w:val="pt-PT"/>
        </w:rPr>
        <w:t>Tiešas darbības perorālie antikoagulanti (</w:t>
      </w:r>
      <w:r w:rsidRPr="00FB2578">
        <w:rPr>
          <w:i/>
          <w:lang w:val="pt-PT"/>
        </w:rPr>
        <w:t>direct acting oral anticoagulants</w:t>
      </w:r>
      <w:r w:rsidRPr="00FB2578">
        <w:rPr>
          <w:lang w:val="pt-PT"/>
        </w:rPr>
        <w:t xml:space="preserve">, DOAC), ieskaitot edoksabānu, nav ieteicami pacientiem, kuriem anamnēzē ir tromboze un kuriem ir diagnosticēts antifosfolipīdu sindroms. Īpaši pacientiem, kuri ir trīskārši pozitīvi (gan uz lupus antikoagulantiem, gan antikardiolipīna antivielām, gan arī uz anti-bēta-2-glikoproteīna I antivielām), ārstēšana ar DOAC var būt saistīta ar paaugstinātu recidivējošu trombozes gadījumu skaitu salīdzinājumā ar K vitamīna antagonistu terapiju. </w:t>
      </w:r>
    </w:p>
    <w:p w14:paraId="29E8CC07" w14:textId="77777777" w:rsidR="005B1006" w:rsidRPr="00FB2578" w:rsidRDefault="005B1006" w:rsidP="005B1006">
      <w:pPr>
        <w:spacing w:after="46" w:line="259" w:lineRule="auto"/>
        <w:ind w:firstLine="0"/>
        <w:rPr>
          <w:lang w:val="pt-PT"/>
        </w:rPr>
      </w:pPr>
      <w:r w:rsidRPr="00FB2578">
        <w:rPr>
          <w:lang w:val="pt-PT"/>
        </w:rPr>
        <w:t xml:space="preserve"> </w:t>
      </w:r>
    </w:p>
    <w:p w14:paraId="62E7FE69" w14:textId="77777777" w:rsidR="005B1006" w:rsidRPr="00FB2578" w:rsidRDefault="005B1006" w:rsidP="005B1006">
      <w:pPr>
        <w:pStyle w:val="Heading2"/>
        <w:ind w:left="0"/>
        <w:rPr>
          <w:lang w:val="pt-PT"/>
        </w:rPr>
      </w:pPr>
      <w:r w:rsidRPr="00FB2578">
        <w:rPr>
          <w:lang w:val="pt-PT"/>
        </w:rPr>
        <w:t>Laboratoriskie koagulācijas rādītāji</w:t>
      </w:r>
      <w:r w:rsidRPr="00FB2578">
        <w:rPr>
          <w:u w:val="none"/>
          <w:lang w:val="pt-PT"/>
        </w:rPr>
        <w:t xml:space="preserve"> </w:t>
      </w:r>
    </w:p>
    <w:p w14:paraId="7917E220" w14:textId="77777777" w:rsidR="005B1006" w:rsidRPr="00FB2578" w:rsidRDefault="005B1006" w:rsidP="005B1006">
      <w:pPr>
        <w:spacing w:after="0" w:line="259" w:lineRule="auto"/>
        <w:ind w:firstLine="0"/>
        <w:rPr>
          <w:lang w:val="pt-PT"/>
        </w:rPr>
      </w:pPr>
      <w:r w:rsidRPr="00FB2578">
        <w:rPr>
          <w:lang w:val="pt-PT"/>
        </w:rPr>
        <w:t xml:space="preserve"> </w:t>
      </w:r>
    </w:p>
    <w:p w14:paraId="244AD99E" w14:textId="77777777" w:rsidR="005B1006" w:rsidRPr="00FB2578" w:rsidRDefault="005B1006" w:rsidP="005B1006">
      <w:pPr>
        <w:ind w:left="-10" w:right="8"/>
        <w:rPr>
          <w:lang w:val="pt-PT"/>
        </w:rPr>
      </w:pPr>
      <w:r w:rsidRPr="00FB2578">
        <w:rPr>
          <w:lang w:val="pt-PT"/>
        </w:rPr>
        <w:t xml:space="preserve">Lai gan edoksabāna terapijas gadījumā nav nepieciešama regulāra novērošana, efektu uz antikoagulāciju var novērtēt, izmantojot kalibrētu kvantitatīvu anti-Xa faktora (anti-FXa) testu, kas var palīdzēt kā informācijas avots klīnisku lēmumu pieņemšanā noteiktās situācijās, piemēram, pārdozēšanas vai akūtas ķirurģiskas operācijas gadījumā (skatīt arī 5.2. apakšpunktu). </w:t>
      </w:r>
    </w:p>
    <w:p w14:paraId="668B3CC4" w14:textId="77777777" w:rsidR="005B1006" w:rsidRPr="00FB2578" w:rsidRDefault="005B1006" w:rsidP="005B1006">
      <w:pPr>
        <w:spacing w:after="44" w:line="259" w:lineRule="auto"/>
        <w:ind w:firstLine="0"/>
        <w:rPr>
          <w:lang w:val="pt-PT"/>
        </w:rPr>
      </w:pPr>
      <w:r w:rsidRPr="00FB2578">
        <w:rPr>
          <w:lang w:val="pt-PT"/>
        </w:rPr>
        <w:t xml:space="preserve"> </w:t>
      </w:r>
    </w:p>
    <w:p w14:paraId="06A71827" w14:textId="77777777" w:rsidR="005B1006" w:rsidRPr="00FB2578" w:rsidRDefault="005B1006" w:rsidP="005B1006">
      <w:pPr>
        <w:ind w:left="-10" w:right="8"/>
        <w:rPr>
          <w:lang w:val="pt-PT"/>
        </w:rPr>
      </w:pPr>
      <w:r w:rsidRPr="00FB2578">
        <w:rPr>
          <w:lang w:val="pt-PT"/>
        </w:rPr>
        <w:t xml:space="preserve">Edoksabāns Xa faktora (FXa) inhibīcijas rezultātā paildzina standarta recēšanas testus, piemēram, protrombīna laiku (PL), </w:t>
      </w:r>
      <w:r w:rsidRPr="00FB2578">
        <w:rPr>
          <w:i/>
          <w:lang w:val="pt-PT"/>
        </w:rPr>
        <w:t>INR</w:t>
      </w:r>
      <w:r w:rsidRPr="00FB2578">
        <w:rPr>
          <w:lang w:val="pt-PT"/>
        </w:rPr>
        <w:t xml:space="preserve"> un aktivētā parciālā tromboplastīna laiku (aPTL). Tomēr, lietojot plānoto terapeitisko devu, izmaiņas šajos asinsreces testos ir nelielas un tām raksturīga augstas pakāpes variabilitāte, tāpēc tās nav noderīgas edoksabāna antikoagulanta iedarbības kontrolei.</w:t>
      </w:r>
      <w:r w:rsidRPr="00FB2578">
        <w:rPr>
          <w:rFonts w:ascii="Calibri" w:eastAsia="Calibri" w:hAnsi="Calibri" w:cs="Calibri"/>
          <w:lang w:val="pt-PT"/>
        </w:rPr>
        <w:t xml:space="preserve"> </w:t>
      </w:r>
    </w:p>
    <w:p w14:paraId="535647B0" w14:textId="77777777" w:rsidR="005B1006" w:rsidRPr="00FB2578" w:rsidRDefault="005B1006" w:rsidP="005B1006">
      <w:pPr>
        <w:spacing w:after="50" w:line="259" w:lineRule="auto"/>
        <w:ind w:left="3" w:firstLine="0"/>
        <w:rPr>
          <w:lang w:val="pt-PT"/>
        </w:rPr>
      </w:pPr>
      <w:r w:rsidRPr="00FB2578">
        <w:rPr>
          <w:lang w:val="pt-PT"/>
        </w:rPr>
        <w:t xml:space="preserve"> </w:t>
      </w:r>
    </w:p>
    <w:p w14:paraId="30091BA2" w14:textId="77777777" w:rsidR="005B1006" w:rsidRPr="00FB2578" w:rsidRDefault="005B1006" w:rsidP="005B1006">
      <w:pPr>
        <w:pStyle w:val="Heading3"/>
        <w:tabs>
          <w:tab w:val="center" w:pos="3176"/>
        </w:tabs>
        <w:spacing w:after="0"/>
        <w:ind w:left="-10" w:firstLine="0"/>
        <w:rPr>
          <w:lang w:val="pt-PT"/>
        </w:rPr>
      </w:pPr>
      <w:r w:rsidRPr="00FB2578">
        <w:rPr>
          <w:b/>
          <w:i w:val="0"/>
          <w:lang w:val="pt-PT"/>
        </w:rPr>
        <w:t xml:space="preserve">4.5. </w:t>
      </w:r>
      <w:r w:rsidRPr="00FB2578">
        <w:rPr>
          <w:b/>
          <w:i w:val="0"/>
          <w:lang w:val="pt-PT"/>
        </w:rPr>
        <w:tab/>
        <w:t>Mijiedarbība ar citām zālēm un citi mijiedarbības veidi</w:t>
      </w:r>
      <w:r w:rsidRPr="00FB2578">
        <w:rPr>
          <w:i w:val="0"/>
          <w:lang w:val="pt-PT"/>
        </w:rPr>
        <w:t xml:space="preserve"> </w:t>
      </w:r>
    </w:p>
    <w:p w14:paraId="6875D085" w14:textId="77777777" w:rsidR="005B1006" w:rsidRPr="00FB2578" w:rsidRDefault="005B1006" w:rsidP="005B1006">
      <w:pPr>
        <w:spacing w:after="47" w:line="259" w:lineRule="auto"/>
        <w:ind w:left="3" w:firstLine="0"/>
        <w:rPr>
          <w:lang w:val="pt-PT"/>
        </w:rPr>
      </w:pPr>
      <w:r w:rsidRPr="00FB2578">
        <w:rPr>
          <w:lang w:val="pt-PT"/>
        </w:rPr>
        <w:t xml:space="preserve"> </w:t>
      </w:r>
    </w:p>
    <w:p w14:paraId="0ACD60C7" w14:textId="77777777" w:rsidR="005B1006" w:rsidRPr="00FB2578" w:rsidRDefault="005B1006" w:rsidP="005B1006">
      <w:pPr>
        <w:ind w:left="-10" w:right="8"/>
        <w:rPr>
          <w:lang w:val="pt-PT"/>
        </w:rPr>
      </w:pPr>
      <w:r w:rsidRPr="00FB2578">
        <w:rPr>
          <w:lang w:val="pt-PT"/>
        </w:rPr>
        <w:t xml:space="preserve">Edoksabāns uzsūcas galvenokārt kuņģa-zarnu trakta (KZT) augšējā daļā. Tāpēc zāles vai slimības, kas pastiprina kuņģa iztukšošanos un zarnu motilitāti, var mazināt edoksabāna šķīšanu un uzsūkšanos. </w:t>
      </w:r>
    </w:p>
    <w:p w14:paraId="04065956" w14:textId="77777777" w:rsidR="005B1006" w:rsidRPr="00FB2578" w:rsidRDefault="005B1006" w:rsidP="005B1006">
      <w:pPr>
        <w:spacing w:after="34" w:line="259" w:lineRule="auto"/>
        <w:ind w:left="3" w:firstLine="0"/>
        <w:rPr>
          <w:lang w:val="pt-PT"/>
        </w:rPr>
      </w:pPr>
      <w:r w:rsidRPr="00FB2578">
        <w:rPr>
          <w:lang w:val="pt-PT"/>
        </w:rPr>
        <w:t xml:space="preserve"> </w:t>
      </w:r>
    </w:p>
    <w:p w14:paraId="029DDDB6" w14:textId="77777777" w:rsidR="005B1006" w:rsidRDefault="005B1006" w:rsidP="005B1006">
      <w:pPr>
        <w:pStyle w:val="Heading2"/>
        <w:ind w:left="0"/>
      </w:pPr>
      <w:r>
        <w:t>P-gp inhibitori</w:t>
      </w:r>
      <w:r>
        <w:rPr>
          <w:u w:val="none"/>
        </w:rPr>
        <w:t xml:space="preserve"> </w:t>
      </w:r>
    </w:p>
    <w:p w14:paraId="7D4F3BB2" w14:textId="77777777" w:rsidR="005B1006" w:rsidRDefault="005B1006" w:rsidP="005B1006">
      <w:pPr>
        <w:spacing w:after="46" w:line="259" w:lineRule="auto"/>
        <w:ind w:firstLine="0"/>
      </w:pPr>
      <w:r>
        <w:t xml:space="preserve"> </w:t>
      </w:r>
    </w:p>
    <w:p w14:paraId="63B21ECA" w14:textId="77777777" w:rsidR="005B1006" w:rsidRDefault="005B1006" w:rsidP="005B1006">
      <w:pPr>
        <w:spacing w:after="37"/>
        <w:ind w:left="-10" w:right="8"/>
      </w:pPr>
      <w:r>
        <w:t xml:space="preserve">Edoksabāns ir izplūdes transportproteīna P-gp substrāts. Farmakokinētikas (FK) pētījumos edoksabāna lietošana vienlaikus ar P-gp inhibitoriem ciklosporīnu, dronedaronu, eritromicīnu, ketokonazolu, hinidīnu vai verapamilu paaugstināja edoksabāna koncentrāciju plazmā. Lai edoksabānu varētu lietot vienlaikus ar ciklosporīnu, dronedaronu, eritromicīnu vai ketokonazolu, deva jāsamazina līdz 30 mg vienreiz dienā. Lai edoksabānu varētu lietot vienlaikus ar hinidīnu, verapamilu vai amiodaronu, deva nav jāsamazina – to pamato klīniskie dati (skatīt 4.2. apakšpunktu). Edoksabāna lietošana kopā ar citiem P-gp inhibitoriem, tostarp cilvēka imūndeficīta vīrusa (HIV) proteāzes inhibitoriem, nav pētīta. </w:t>
      </w:r>
    </w:p>
    <w:p w14:paraId="4354175B" w14:textId="77777777" w:rsidR="005B1006" w:rsidRDefault="005B1006" w:rsidP="005B1006">
      <w:pPr>
        <w:spacing w:after="0" w:line="259" w:lineRule="auto"/>
        <w:ind w:firstLine="0"/>
      </w:pPr>
      <w:r>
        <w:t xml:space="preserve"> </w:t>
      </w:r>
    </w:p>
    <w:p w14:paraId="0C10CE16" w14:textId="77777777" w:rsidR="005B1006" w:rsidRDefault="005B1006" w:rsidP="005B1006">
      <w:pPr>
        <w:spacing w:after="195"/>
        <w:ind w:left="-10" w:right="8"/>
      </w:pPr>
      <w:r>
        <w:t xml:space="preserve">Ja vienlaikus lieto tālāk norādītos P-gp inhibitorus, jālieto edoksabāns 30 mg vienreiz dienā. </w:t>
      </w:r>
    </w:p>
    <w:p w14:paraId="7BBED52A" w14:textId="77777777" w:rsidR="005B1006" w:rsidRDefault="005B1006" w:rsidP="005B1006">
      <w:pPr>
        <w:numPr>
          <w:ilvl w:val="0"/>
          <w:numId w:val="3"/>
        </w:numPr>
        <w:spacing w:after="75" w:line="322" w:lineRule="auto"/>
        <w:ind w:right="8" w:hanging="568"/>
      </w:pPr>
      <w:r>
        <w:rPr>
          <w:i/>
        </w:rPr>
        <w:t xml:space="preserve">Ciklosporīns. </w:t>
      </w:r>
      <w:r>
        <w:t>Vienlaikus lietota viena ciklosporīna 500 mg deva un viena edoksabāna 60 mg deva edoksabāna AUC un maksimālo koncentrāciju serumā (C</w:t>
      </w:r>
      <w:r>
        <w:rPr>
          <w:sz w:val="14"/>
        </w:rPr>
        <w:t>max</w:t>
      </w:r>
      <w:r>
        <w:t>) palielināja attiecīgi par 73% un 74%.</w:t>
      </w:r>
      <w:r>
        <w:rPr>
          <w:i/>
        </w:rPr>
        <w:t xml:space="preserve"> </w:t>
      </w:r>
    </w:p>
    <w:p w14:paraId="6304AEC8" w14:textId="77777777" w:rsidR="005B1006" w:rsidRDefault="005B1006" w:rsidP="005B1006">
      <w:pPr>
        <w:numPr>
          <w:ilvl w:val="0"/>
          <w:numId w:val="3"/>
        </w:numPr>
        <w:spacing w:after="78" w:line="318" w:lineRule="auto"/>
        <w:ind w:right="8" w:hanging="568"/>
      </w:pPr>
      <w:r>
        <w:rPr>
          <w:i/>
        </w:rPr>
        <w:t xml:space="preserve">Dronedarons. </w:t>
      </w:r>
      <w:r>
        <w:t>Dronedarons 400 mg divreiz dienā 7 dienas un vienlaikus lietota viena edoksabāna 60 mg deva 5. dienā edoksabāna AUC un C</w:t>
      </w:r>
      <w:r>
        <w:rPr>
          <w:sz w:val="14"/>
        </w:rPr>
        <w:t>max</w:t>
      </w:r>
      <w:r>
        <w:t xml:space="preserve"> palielināja attiecīgi par 85% un 46%. </w:t>
      </w:r>
    </w:p>
    <w:p w14:paraId="45B218AE" w14:textId="77777777" w:rsidR="005B1006" w:rsidRDefault="005B1006" w:rsidP="005B1006">
      <w:pPr>
        <w:numPr>
          <w:ilvl w:val="0"/>
          <w:numId w:val="3"/>
        </w:numPr>
        <w:spacing w:after="79" w:line="318" w:lineRule="auto"/>
        <w:ind w:right="8" w:hanging="568"/>
      </w:pPr>
      <w:r>
        <w:rPr>
          <w:i/>
        </w:rPr>
        <w:t xml:space="preserve">Eritromicīns. </w:t>
      </w:r>
      <w:r>
        <w:t>Eritromicīns 500 mg četras reizes dienā 8 dienas un vienlaikus lietota viena edoksabāna 60 mg deva 7. dienā edoksabāna AUC un C</w:t>
      </w:r>
      <w:r>
        <w:rPr>
          <w:sz w:val="14"/>
        </w:rPr>
        <w:t>max</w:t>
      </w:r>
      <w:r>
        <w:t xml:space="preserve"> palielināja attiecīgi par 85% un 68%. </w:t>
      </w:r>
    </w:p>
    <w:p w14:paraId="5C69A5DF" w14:textId="77777777" w:rsidR="005B1006" w:rsidRDefault="005B1006" w:rsidP="005B1006">
      <w:pPr>
        <w:numPr>
          <w:ilvl w:val="0"/>
          <w:numId w:val="3"/>
        </w:numPr>
        <w:spacing w:line="319" w:lineRule="auto"/>
        <w:ind w:right="8" w:hanging="568"/>
      </w:pPr>
      <w:r>
        <w:rPr>
          <w:i/>
        </w:rPr>
        <w:t xml:space="preserve">Ketokonazols. </w:t>
      </w:r>
      <w:r>
        <w:t>Ketokonazols 400 mg vienreiz dienā 7 dienas un vienlaikus lietota viena edoksabāna 60 mg deva 4. dienā edoksabāna AUC un C</w:t>
      </w:r>
      <w:r>
        <w:rPr>
          <w:sz w:val="14"/>
        </w:rPr>
        <w:t>max</w:t>
      </w:r>
      <w:r>
        <w:t xml:space="preserve"> palielināja attiecīgi par 87% un 89%.</w:t>
      </w:r>
      <w:r>
        <w:rPr>
          <w:i/>
        </w:rPr>
        <w:t xml:space="preserve"> </w:t>
      </w:r>
    </w:p>
    <w:p w14:paraId="5C0D53F8" w14:textId="77777777" w:rsidR="005B1006" w:rsidRDefault="005B1006" w:rsidP="005B1006">
      <w:pPr>
        <w:spacing w:after="45" w:line="259" w:lineRule="auto"/>
        <w:ind w:firstLine="0"/>
      </w:pPr>
      <w:r>
        <w:t xml:space="preserve"> </w:t>
      </w:r>
    </w:p>
    <w:p w14:paraId="065B49E2" w14:textId="77777777" w:rsidR="005B1006" w:rsidRDefault="005B1006" w:rsidP="005B1006">
      <w:pPr>
        <w:spacing w:after="197"/>
        <w:ind w:left="-10" w:right="8"/>
      </w:pPr>
      <w:r>
        <w:t xml:space="preserve">Ja vienlaikus lieto tālāk norādītos P-gp inhibitorus, ieteicams lietot edoksabānu 60 mg vienreiz dienā. </w:t>
      </w:r>
    </w:p>
    <w:p w14:paraId="772E0F15" w14:textId="77777777" w:rsidR="005B1006" w:rsidRDefault="005B1006" w:rsidP="005B1006">
      <w:pPr>
        <w:numPr>
          <w:ilvl w:val="0"/>
          <w:numId w:val="3"/>
        </w:numPr>
        <w:spacing w:after="67" w:line="325" w:lineRule="auto"/>
        <w:ind w:right="8" w:hanging="568"/>
      </w:pPr>
      <w:r>
        <w:rPr>
          <w:i/>
        </w:rPr>
        <w:t xml:space="preserve">Hinidīns. </w:t>
      </w:r>
      <w:r>
        <w:t>Hinidīns 300 mg vienreiz dienā 1. un 4. dienā un trīsreiz dienā 2. un 3. dienā un vienlaikus lietota viena edoksabāna 60 mg deva 3. dienā edoksabāna AUC 24 stundu gaitā palielināja par 77% un C</w:t>
      </w:r>
      <w:r>
        <w:rPr>
          <w:sz w:val="14"/>
        </w:rPr>
        <w:t>max</w:t>
      </w:r>
      <w:r>
        <w:t xml:space="preserve"> paaugstināja par 85%.</w:t>
      </w:r>
      <w:r>
        <w:rPr>
          <w:i/>
        </w:rPr>
        <w:t xml:space="preserve"> </w:t>
      </w:r>
    </w:p>
    <w:p w14:paraId="3D058A5F" w14:textId="77777777" w:rsidR="005B1006" w:rsidRDefault="005B1006" w:rsidP="005B1006">
      <w:pPr>
        <w:numPr>
          <w:ilvl w:val="0"/>
          <w:numId w:val="3"/>
        </w:numPr>
        <w:spacing w:after="65" w:line="327" w:lineRule="auto"/>
        <w:ind w:right="8" w:hanging="568"/>
      </w:pPr>
      <w:r>
        <w:rPr>
          <w:i/>
        </w:rPr>
        <w:t xml:space="preserve">Verapamils. </w:t>
      </w:r>
      <w:r>
        <w:t>Verapamils 240 mg vienreiz dienā 11 dienas un vienlaikus lietota viena edoksabāna 60 mg deva 10. dienā edoksabāna AUC un C</w:t>
      </w:r>
      <w:r>
        <w:rPr>
          <w:sz w:val="14"/>
        </w:rPr>
        <w:t>max</w:t>
      </w:r>
      <w:r>
        <w:t xml:space="preserve"> palielināja par apmēram 53%.</w:t>
      </w:r>
      <w:r>
        <w:rPr>
          <w:i/>
        </w:rPr>
        <w:t xml:space="preserve"> </w:t>
      </w:r>
    </w:p>
    <w:p w14:paraId="189A2E2A" w14:textId="77777777" w:rsidR="005B1006" w:rsidRDefault="005B1006" w:rsidP="005B1006">
      <w:pPr>
        <w:numPr>
          <w:ilvl w:val="0"/>
          <w:numId w:val="3"/>
        </w:numPr>
        <w:spacing w:after="62"/>
        <w:ind w:right="8" w:hanging="568"/>
      </w:pPr>
      <w:r>
        <w:rPr>
          <w:i/>
        </w:rPr>
        <w:t>Amiodarons.</w:t>
      </w:r>
      <w:r>
        <w:t xml:space="preserve"> Vienlaikus lietots amiodarons 400 mg vienreiz dienā un edoksabāns 60 mg vienreiz dienā AUC palielināja par 40%, bet C</w:t>
      </w:r>
      <w:r>
        <w:rPr>
          <w:sz w:val="14"/>
        </w:rPr>
        <w:t>max</w:t>
      </w:r>
      <w:r>
        <w:t xml:space="preserve"> – par 66%. To neuzskatīja par klīniski nozīmīgu. Pētījumā „ENGAGE AF-TIMI 48” par NVPM iegūtie efektivitātes un drošuma rādītāji bija līdzīgi gan pacientiem, kas vienlaikus lietoja amiodaronu, gan pacientiem, kas to nelietoja.</w:t>
      </w:r>
      <w:r>
        <w:rPr>
          <w:i/>
        </w:rPr>
        <w:t xml:space="preserve"> </w:t>
      </w:r>
    </w:p>
    <w:p w14:paraId="6DE9B7F4" w14:textId="77777777" w:rsidR="005B1006" w:rsidRDefault="005B1006" w:rsidP="005B1006">
      <w:pPr>
        <w:spacing w:after="12" w:line="259" w:lineRule="auto"/>
        <w:ind w:firstLine="0"/>
      </w:pPr>
      <w:r>
        <w:rPr>
          <w:i/>
          <w:sz w:val="24"/>
        </w:rPr>
        <w:t xml:space="preserve"> </w:t>
      </w:r>
    </w:p>
    <w:p w14:paraId="3A42FC69" w14:textId="77777777" w:rsidR="005B1006" w:rsidRDefault="005B1006" w:rsidP="005B1006">
      <w:pPr>
        <w:pStyle w:val="Heading2"/>
        <w:ind w:left="0"/>
      </w:pPr>
      <w:r>
        <w:t>P-gp induktori</w:t>
      </w:r>
      <w:r>
        <w:rPr>
          <w:u w:val="none"/>
        </w:rPr>
        <w:t xml:space="preserve"> </w:t>
      </w:r>
    </w:p>
    <w:p w14:paraId="36DA09DC" w14:textId="77777777" w:rsidR="005B1006" w:rsidRDefault="005B1006" w:rsidP="005B1006">
      <w:pPr>
        <w:spacing w:after="44" w:line="259" w:lineRule="auto"/>
        <w:ind w:firstLine="0"/>
      </w:pPr>
      <w:r>
        <w:t xml:space="preserve"> </w:t>
      </w:r>
    </w:p>
    <w:p w14:paraId="65B8FBDC" w14:textId="77777777" w:rsidR="005B1006" w:rsidRDefault="005B1006" w:rsidP="005B1006">
      <w:pPr>
        <w:ind w:left="-10" w:right="8"/>
      </w:pPr>
      <w:r>
        <w:t>Edoksabāna vienlaicīga lietošana ar P-gp inducētāju rifampicīnu izraisīja edoksabāna vidējās AUC vērtības samazināšanos un īsāku eliminācijas pusperiodu, kā arī iespējamu farmakodinamiskās iedarbības samazināšanos. Edoksabāna vienlaicīga lietošana ar citiem P-gp inducētājiem (piemēram, fenitoīns, karbamazepīns, fenobarbitāls vai asinszāle (</w:t>
      </w:r>
      <w:r>
        <w:rPr>
          <w:i/>
        </w:rPr>
        <w:t>Hypericum perforatum</w:t>
      </w:r>
      <w:r>
        <w:t xml:space="preserve">)) var izraisīt edoksabāna koncentrācijas samazināšanos plazmā. Edoksabāns jālieto piesardzīgi, ja to izmanto kopā ar P-gp induktoriem. </w:t>
      </w:r>
    </w:p>
    <w:p w14:paraId="04A316F2" w14:textId="77777777" w:rsidR="005B1006" w:rsidRDefault="005B1006" w:rsidP="005B1006">
      <w:pPr>
        <w:spacing w:after="34" w:line="259" w:lineRule="auto"/>
        <w:ind w:left="3" w:firstLine="0"/>
      </w:pPr>
      <w:r>
        <w:t xml:space="preserve"> </w:t>
      </w:r>
    </w:p>
    <w:p w14:paraId="7FB3E43A" w14:textId="77777777" w:rsidR="005B1006" w:rsidRDefault="005B1006" w:rsidP="005B1006">
      <w:pPr>
        <w:pStyle w:val="Heading2"/>
        <w:ind w:left="0"/>
      </w:pPr>
      <w:r>
        <w:t>P-gp substrāti</w:t>
      </w:r>
      <w:r>
        <w:rPr>
          <w:u w:val="none"/>
        </w:rPr>
        <w:t xml:space="preserve"> </w:t>
      </w:r>
    </w:p>
    <w:p w14:paraId="33478C9E" w14:textId="77777777" w:rsidR="005B1006" w:rsidRDefault="005B1006" w:rsidP="005B1006">
      <w:pPr>
        <w:spacing w:after="45" w:line="259" w:lineRule="auto"/>
        <w:ind w:firstLine="0"/>
      </w:pPr>
      <w:r>
        <w:t xml:space="preserve"> </w:t>
      </w:r>
    </w:p>
    <w:p w14:paraId="5AEA5380" w14:textId="77777777" w:rsidR="005B1006" w:rsidRDefault="005B1006" w:rsidP="005B1006">
      <w:pPr>
        <w:spacing w:after="34"/>
        <w:ind w:left="-10" w:right="8"/>
      </w:pPr>
      <w:r>
        <w:rPr>
          <w:i/>
        </w:rPr>
        <w:t>Digoksīns.</w:t>
      </w:r>
      <w:r>
        <w:t xml:space="preserve"> Edoksabāns 60 mg vienreiz dienā no 1. līdz 14. dienai un vienlaikus lietotas vairākas dienas devas digoksīna 0,25 mg divreiz dienā (8. un 9. dienā) un 0,25 mg vienreiz dienā (no 10. līdz 14. dienai) edoksabāna C</w:t>
      </w:r>
      <w:r>
        <w:rPr>
          <w:sz w:val="14"/>
        </w:rPr>
        <w:t>max</w:t>
      </w:r>
      <w:r>
        <w:t xml:space="preserve"> paaugstināja par 17%, bet AUC un klīrensu caur nierēm pēc līdzsvara koncentrācijas sasniegšanas nozīmīgi neietekmēja. Edoksabāna ietekmes uz digoksīna farmakokinētiku pārbaudē secināja, ka digoksīna C</w:t>
      </w:r>
      <w:r>
        <w:rPr>
          <w:sz w:val="14"/>
        </w:rPr>
        <w:t>max</w:t>
      </w:r>
      <w:r>
        <w:t xml:space="preserve"> paaugstinājās par apmēram 28% un AUC – par 7%. To neuzskatīja par klīniski nozīmīgu. Deva nav jāmaina, ja edoksabānu lieto kopā ar digoksīnu. </w:t>
      </w:r>
    </w:p>
    <w:p w14:paraId="6A9247FD" w14:textId="77777777" w:rsidR="005B1006" w:rsidRDefault="005B1006" w:rsidP="005B1006">
      <w:pPr>
        <w:spacing w:after="45" w:line="259" w:lineRule="auto"/>
        <w:ind w:firstLine="0"/>
      </w:pPr>
      <w:r>
        <w:t xml:space="preserve"> </w:t>
      </w:r>
    </w:p>
    <w:p w14:paraId="08E0A3BC" w14:textId="77777777" w:rsidR="005B1006" w:rsidRDefault="005B1006" w:rsidP="005B1006">
      <w:pPr>
        <w:pStyle w:val="Heading2"/>
        <w:ind w:left="0"/>
      </w:pPr>
      <w:r>
        <w:t>Antikoagulanti, antiagreganti, NSPL un SSRI/SNRI</w:t>
      </w:r>
      <w:r>
        <w:rPr>
          <w:u w:val="none"/>
        </w:rPr>
        <w:t xml:space="preserve"> </w:t>
      </w:r>
    </w:p>
    <w:p w14:paraId="2CF60936" w14:textId="77777777" w:rsidR="005B1006" w:rsidRDefault="005B1006" w:rsidP="005B1006">
      <w:pPr>
        <w:spacing w:after="0" w:line="259" w:lineRule="auto"/>
        <w:ind w:firstLine="0"/>
      </w:pPr>
      <w:r>
        <w:t xml:space="preserve"> </w:t>
      </w:r>
    </w:p>
    <w:p w14:paraId="75CC3302" w14:textId="77777777" w:rsidR="005B1006" w:rsidRDefault="005B1006" w:rsidP="005B1006">
      <w:pPr>
        <w:spacing w:after="31"/>
        <w:ind w:left="-10" w:right="8"/>
      </w:pPr>
      <w:r>
        <w:rPr>
          <w:i/>
        </w:rPr>
        <w:t xml:space="preserve">Antikoagulanti. </w:t>
      </w:r>
      <w:r>
        <w:t xml:space="preserve">Edoksabāna lietošana vienlaikus ar citiem antikoagulantiem ir kontrindicēta paaugstinātā asiņošanas riska dēļ (skatīt 4.3. apakšpunktu). </w:t>
      </w:r>
    </w:p>
    <w:p w14:paraId="35CDBE20" w14:textId="77777777" w:rsidR="005B1006" w:rsidRDefault="005B1006" w:rsidP="005B1006">
      <w:pPr>
        <w:spacing w:after="0" w:line="259" w:lineRule="auto"/>
        <w:ind w:firstLine="0"/>
      </w:pPr>
      <w:r>
        <w:t xml:space="preserve"> </w:t>
      </w:r>
    </w:p>
    <w:p w14:paraId="3103A8C5" w14:textId="77777777" w:rsidR="005B1006" w:rsidRDefault="005B1006" w:rsidP="005B1006">
      <w:pPr>
        <w:spacing w:line="322" w:lineRule="auto"/>
        <w:ind w:left="-10" w:right="8"/>
      </w:pPr>
      <w:r>
        <w:rPr>
          <w:i/>
        </w:rPr>
        <w:t xml:space="preserve">ASS. </w:t>
      </w:r>
      <w:r>
        <w:t>Vienlaikus lietojot ASS (100 mg vai 325 mg) un edoksabānu, asiņošanas laiks bija ilgāks nekā tad, ja lietoja tikai vienas no šīm zālēm. Vienlaikus lietojot lielu devu ASS (325 mg), edoksabāna līdzsvara koncentrācijas C</w:t>
      </w:r>
      <w:r>
        <w:rPr>
          <w:sz w:val="14"/>
        </w:rPr>
        <w:t>max</w:t>
      </w:r>
      <w:r>
        <w:t xml:space="preserve"> un AUC paaugstinājās attiecīgi par 35% un 32%. Nav ieteicams vienlaikus pastāvīgi lietot lielu devu ASS (325 mg) un edoksabānu. Vienlaicīgai ASA lietošanai lielākā devā par 100 mg jānotiek tikai medicīniskā uzraudzībā. </w:t>
      </w:r>
    </w:p>
    <w:p w14:paraId="746E4A8E" w14:textId="77777777" w:rsidR="005B1006" w:rsidRDefault="005B1006" w:rsidP="005B1006">
      <w:pPr>
        <w:spacing w:after="46" w:line="259" w:lineRule="auto"/>
        <w:ind w:left="3" w:firstLine="0"/>
      </w:pPr>
      <w:r>
        <w:t xml:space="preserve"> </w:t>
      </w:r>
    </w:p>
    <w:p w14:paraId="462F243E" w14:textId="77777777" w:rsidR="005B1006" w:rsidRDefault="005B1006" w:rsidP="005B1006">
      <w:pPr>
        <w:spacing w:after="52"/>
        <w:ind w:left="-10" w:right="8"/>
      </w:pPr>
      <w:r>
        <w:t xml:space="preserve">Klīniskajos pētījumos bija atļauts vienlaikus lietot ASS (mazu devu ≤100 mg/dienā), citus antiagregantus un tienopiridīnus, kā rezultātā apmēram 2 reizes biežāk novēroja </w:t>
      </w:r>
      <w:r>
        <w:rPr>
          <w:sz w:val="24"/>
        </w:rPr>
        <w:t>būtisku</w:t>
      </w:r>
      <w:r>
        <w:t xml:space="preserve"> asiņošanu nekā tad, ja šos līdzekļus nelietoja vienlaikus, lai gan edoksabāna un varfarīna grupās šis rādītājs bija līdzīgs (skatīt 4.4. apakšpunktu). Mazas devas ASS (≤100 mg) vienlaikus lietošana neietekmēja edoksabāna maksimālo vai kopējo iedarbību ne pēc vienas devas, ne pēc līdzsvara koncentrācijas sasniegšanas. </w:t>
      </w:r>
    </w:p>
    <w:p w14:paraId="198E45B4" w14:textId="77777777" w:rsidR="005B1006" w:rsidRDefault="005B1006" w:rsidP="005B1006">
      <w:pPr>
        <w:ind w:left="-10" w:right="8"/>
      </w:pPr>
      <w:r>
        <w:t xml:space="preserve">Edoksabānu var lietot vienlaikus ar mazu devu ASS (≤100 mg/dienā). </w:t>
      </w:r>
    </w:p>
    <w:p w14:paraId="0214C271" w14:textId="77777777" w:rsidR="005B1006" w:rsidRDefault="005B1006" w:rsidP="005B1006">
      <w:pPr>
        <w:spacing w:after="46" w:line="259" w:lineRule="auto"/>
        <w:ind w:firstLine="0"/>
      </w:pPr>
      <w:r>
        <w:t xml:space="preserve"> </w:t>
      </w:r>
    </w:p>
    <w:p w14:paraId="7174176E" w14:textId="77777777" w:rsidR="005B1006" w:rsidRDefault="005B1006" w:rsidP="005B1006">
      <w:pPr>
        <w:spacing w:after="36"/>
        <w:ind w:left="-10" w:right="8"/>
      </w:pPr>
      <w:r>
        <w:rPr>
          <w:i/>
        </w:rPr>
        <w:t>Trombocītu inhibitori.</w:t>
      </w:r>
      <w:r>
        <w:t xml:space="preserve"> Pētījumā „ENGAGE AF-TIMI 48” bija atļauta vienlaicīga tienopiridīnu (piemēram, klopidogrela) monoterapija, kā rezultātā biežāk novēroja klīniski nozīmīgu asiņošanu, lai gan, lietojot edoksabānu, asiņošanas risks bija mazāks, salīdzinot ar varfarīna lietošanu (skatīt </w:t>
      </w:r>
    </w:p>
    <w:p w14:paraId="0DB3C184" w14:textId="77777777" w:rsidR="005B1006" w:rsidRDefault="005B1006" w:rsidP="005B1006">
      <w:pPr>
        <w:ind w:left="-10" w:right="8"/>
      </w:pPr>
      <w:r>
        <w:t xml:space="preserve">4.4. apakšpunktu). </w:t>
      </w:r>
    </w:p>
    <w:p w14:paraId="44139462" w14:textId="77777777" w:rsidR="005B1006" w:rsidRDefault="005B1006" w:rsidP="005B1006">
      <w:pPr>
        <w:spacing w:after="0" w:line="259" w:lineRule="auto"/>
        <w:ind w:firstLine="0"/>
      </w:pPr>
      <w:r>
        <w:t xml:space="preserve"> </w:t>
      </w:r>
    </w:p>
    <w:p w14:paraId="3E304C9E" w14:textId="77777777" w:rsidR="005B1006" w:rsidRDefault="005B1006" w:rsidP="005B1006">
      <w:pPr>
        <w:spacing w:after="28"/>
        <w:ind w:left="-10" w:right="8"/>
      </w:pPr>
      <w:r>
        <w:t xml:space="preserve">Pieredze edoksabāna lietošanā kopā ar diviem antiagregantiem vai fibrinolītiskiem līdzekļiem ir ļoti ierobežota. </w:t>
      </w:r>
    </w:p>
    <w:p w14:paraId="5DF81B25" w14:textId="77777777" w:rsidR="005B1006" w:rsidRDefault="005B1006" w:rsidP="005B1006">
      <w:pPr>
        <w:spacing w:after="0" w:line="259" w:lineRule="auto"/>
        <w:ind w:firstLine="0"/>
      </w:pPr>
      <w:r>
        <w:t xml:space="preserve"> </w:t>
      </w:r>
    </w:p>
    <w:p w14:paraId="12363ACD" w14:textId="77777777" w:rsidR="005B1006" w:rsidRDefault="005B1006" w:rsidP="005B1006">
      <w:pPr>
        <w:ind w:left="-10" w:right="8"/>
      </w:pPr>
      <w:r>
        <w:rPr>
          <w:i/>
        </w:rPr>
        <w:t xml:space="preserve">NSPL. </w:t>
      </w:r>
      <w:r>
        <w:t>Vienlaikus lietojot naproksēnu un edoksabānu, asiņošanas laiks bija ilgāks nekā tad, ja lietoja tikai vienas no šīm zālēm. Naproksēns neietekmēja edoksabāna C</w:t>
      </w:r>
      <w:r>
        <w:rPr>
          <w:sz w:val="14"/>
        </w:rPr>
        <w:t>max</w:t>
      </w:r>
      <w:r>
        <w:t xml:space="preserve"> un AUC. Klīniskajos pētījumos, vienlaikus lietojot NSPL, biežāk novēroja klīniski nozīmīgu asiņošanu. Nav ieteicams pastāvīgi lietot NSPL kopā ar edoksabānu. </w:t>
      </w:r>
    </w:p>
    <w:p w14:paraId="457A9494" w14:textId="77777777" w:rsidR="005B1006" w:rsidRDefault="005B1006" w:rsidP="005B1006">
      <w:pPr>
        <w:spacing w:after="42" w:line="259" w:lineRule="auto"/>
        <w:ind w:firstLine="0"/>
      </w:pPr>
      <w:r>
        <w:rPr>
          <w:i/>
        </w:rPr>
        <w:t xml:space="preserve"> </w:t>
      </w:r>
    </w:p>
    <w:p w14:paraId="0AA2BDE5" w14:textId="77777777" w:rsidR="005B1006" w:rsidRDefault="005B1006" w:rsidP="005B1006">
      <w:pPr>
        <w:spacing w:line="318" w:lineRule="auto"/>
        <w:ind w:left="-10" w:right="8"/>
      </w:pPr>
      <w:r>
        <w:rPr>
          <w:i/>
        </w:rPr>
        <w:t>SSRI</w:t>
      </w:r>
      <w:r>
        <w:t>/</w:t>
      </w:r>
      <w:r>
        <w:rPr>
          <w:i/>
        </w:rPr>
        <w:t>SNRI</w:t>
      </w:r>
      <w:r>
        <w:t xml:space="preserve">: tāpat kā citu antikoagulantu gadījumā, pastāv iespēja, ka pacientiem būs paaugstināts asiņošanas risks, ja šīs zāles lieto vienlaicīgi ar </w:t>
      </w:r>
      <w:r>
        <w:rPr>
          <w:i/>
        </w:rPr>
        <w:t xml:space="preserve">SSRI </w:t>
      </w:r>
      <w:r>
        <w:t xml:space="preserve">vai </w:t>
      </w:r>
      <w:r>
        <w:rPr>
          <w:i/>
        </w:rPr>
        <w:t>SNRI</w:t>
      </w:r>
      <w:r>
        <w:t>, un tas ir saistīts ar šo līdzekļu ziņoto ietekmi uz trombocītiem (skatīt 4.4. apakšpunktu).</w:t>
      </w:r>
      <w:r>
        <w:rPr>
          <w:i/>
        </w:rPr>
        <w:t xml:space="preserve"> </w:t>
      </w:r>
    </w:p>
    <w:p w14:paraId="205BC2A6" w14:textId="77777777" w:rsidR="005B1006" w:rsidRDefault="005B1006" w:rsidP="005B1006">
      <w:pPr>
        <w:spacing w:after="44" w:line="259" w:lineRule="auto"/>
        <w:ind w:firstLine="0"/>
      </w:pPr>
      <w:r>
        <w:rPr>
          <w:i/>
        </w:rPr>
        <w:t xml:space="preserve"> </w:t>
      </w:r>
    </w:p>
    <w:p w14:paraId="7B472694" w14:textId="77777777" w:rsidR="005B1006" w:rsidRDefault="005B1006" w:rsidP="005B1006">
      <w:pPr>
        <w:pStyle w:val="Heading2"/>
        <w:ind w:left="0"/>
      </w:pPr>
      <w:r>
        <w:t>Edoksabāna iedarbība uz citām zālēm</w:t>
      </w:r>
      <w:r>
        <w:rPr>
          <w:u w:val="none"/>
        </w:rPr>
        <w:t xml:space="preserve"> </w:t>
      </w:r>
    </w:p>
    <w:p w14:paraId="739FF885" w14:textId="77777777" w:rsidR="005B1006" w:rsidRDefault="005B1006" w:rsidP="005B1006">
      <w:pPr>
        <w:spacing w:after="53" w:line="259" w:lineRule="auto"/>
        <w:ind w:firstLine="0"/>
      </w:pPr>
      <w:r>
        <w:t xml:space="preserve"> </w:t>
      </w:r>
    </w:p>
    <w:p w14:paraId="5B0DF0CA" w14:textId="77777777" w:rsidR="005B1006" w:rsidRDefault="005B1006" w:rsidP="005B1006">
      <w:pPr>
        <w:spacing w:line="321" w:lineRule="auto"/>
        <w:ind w:left="-10" w:right="8"/>
      </w:pPr>
      <w:r>
        <w:t>Edoksabāns vienlaikus lietota digoksīna C</w:t>
      </w:r>
      <w:r>
        <w:rPr>
          <w:sz w:val="14"/>
        </w:rPr>
        <w:t>max</w:t>
      </w:r>
      <w:r>
        <w:t xml:space="preserve"> paaugstināja par 28%; taču AUC tas neietekmēja. Edoksabāns neietekmēja hinidīna C</w:t>
      </w:r>
      <w:r>
        <w:rPr>
          <w:sz w:val="14"/>
        </w:rPr>
        <w:t>max</w:t>
      </w:r>
      <w:r>
        <w:t xml:space="preserve"> un AUC.  </w:t>
      </w:r>
    </w:p>
    <w:p w14:paraId="40DB5391" w14:textId="77777777" w:rsidR="005B1006" w:rsidRDefault="005B1006" w:rsidP="005B1006">
      <w:pPr>
        <w:spacing w:after="51" w:line="259" w:lineRule="auto"/>
        <w:ind w:firstLine="0"/>
      </w:pPr>
      <w:r>
        <w:t xml:space="preserve"> </w:t>
      </w:r>
    </w:p>
    <w:p w14:paraId="3921C7E1" w14:textId="77777777" w:rsidR="005B1006" w:rsidRDefault="005B1006" w:rsidP="005B1006">
      <w:pPr>
        <w:ind w:left="-10" w:right="8"/>
      </w:pPr>
      <w:r>
        <w:t>Edoksabāns vienlaikus lietota verapamila C</w:t>
      </w:r>
      <w:r>
        <w:rPr>
          <w:sz w:val="14"/>
        </w:rPr>
        <w:t>max</w:t>
      </w:r>
      <w:r>
        <w:t xml:space="preserve"> un AUC samazināja attiecīgi par 14% un 16%. </w:t>
      </w:r>
    </w:p>
    <w:p w14:paraId="5FFDD349" w14:textId="77777777" w:rsidR="005B1006" w:rsidRDefault="005B1006" w:rsidP="005B1006">
      <w:pPr>
        <w:spacing w:after="49" w:line="259" w:lineRule="auto"/>
        <w:ind w:firstLine="0"/>
      </w:pPr>
      <w:r>
        <w:t xml:space="preserve"> </w:t>
      </w:r>
    </w:p>
    <w:p w14:paraId="279F7B7A" w14:textId="77777777" w:rsidR="005B1006" w:rsidRDefault="005B1006" w:rsidP="005B1006">
      <w:pPr>
        <w:tabs>
          <w:tab w:val="center" w:pos="2642"/>
        </w:tabs>
        <w:spacing w:after="0" w:line="259" w:lineRule="auto"/>
        <w:ind w:left="-10" w:firstLine="0"/>
      </w:pPr>
      <w:r>
        <w:rPr>
          <w:b/>
        </w:rPr>
        <w:t xml:space="preserve">4.6. </w:t>
      </w:r>
      <w:r>
        <w:rPr>
          <w:b/>
        </w:rPr>
        <w:tab/>
        <w:t xml:space="preserve">Fertilitāte, grūtniecība un barošana ar krūti </w:t>
      </w:r>
    </w:p>
    <w:p w14:paraId="2C50B6A3" w14:textId="77777777" w:rsidR="005B1006" w:rsidRDefault="005B1006" w:rsidP="005B1006">
      <w:pPr>
        <w:spacing w:after="46" w:line="259" w:lineRule="auto"/>
        <w:ind w:firstLine="0"/>
      </w:pPr>
      <w:r>
        <w:t xml:space="preserve"> </w:t>
      </w:r>
    </w:p>
    <w:p w14:paraId="2F7B5159" w14:textId="77777777" w:rsidR="005B1006" w:rsidRDefault="005B1006" w:rsidP="005B1006">
      <w:pPr>
        <w:spacing w:after="0" w:line="259" w:lineRule="auto"/>
        <w:ind w:left="0" w:hanging="10"/>
      </w:pPr>
      <w:r>
        <w:rPr>
          <w:u w:val="single" w:color="000000"/>
        </w:rPr>
        <w:t>Sievietes reproduktīvā vecumā</w:t>
      </w:r>
      <w:r>
        <w:t xml:space="preserve"> </w:t>
      </w:r>
    </w:p>
    <w:p w14:paraId="28EC9DC6" w14:textId="77777777" w:rsidR="005B1006" w:rsidRDefault="005B1006" w:rsidP="005B1006">
      <w:pPr>
        <w:spacing w:after="46" w:line="259" w:lineRule="auto"/>
        <w:ind w:firstLine="0"/>
      </w:pPr>
      <w:r>
        <w:t xml:space="preserve"> </w:t>
      </w:r>
    </w:p>
    <w:p w14:paraId="186D71A0" w14:textId="77777777" w:rsidR="005B1006" w:rsidRDefault="005B1006" w:rsidP="005B1006">
      <w:pPr>
        <w:ind w:left="-10" w:right="8"/>
      </w:pPr>
      <w:r>
        <w:t xml:space="preserve">Sievietēm reproduktīvā vecumā edoksabāna terapijas laikā jāizsargās no grūtniecības. </w:t>
      </w:r>
    </w:p>
    <w:p w14:paraId="39ACBF8C" w14:textId="77777777" w:rsidR="005B1006" w:rsidRDefault="005B1006" w:rsidP="005B1006">
      <w:pPr>
        <w:spacing w:after="44" w:line="259" w:lineRule="auto"/>
        <w:ind w:firstLine="0"/>
      </w:pPr>
      <w:r>
        <w:t xml:space="preserve"> </w:t>
      </w:r>
    </w:p>
    <w:p w14:paraId="333D2F15" w14:textId="77777777" w:rsidR="005B1006" w:rsidRDefault="005B1006" w:rsidP="005B1006">
      <w:pPr>
        <w:pStyle w:val="Heading2"/>
        <w:ind w:left="0"/>
      </w:pPr>
      <w:r>
        <w:t>Grūtniecība</w:t>
      </w:r>
      <w:r>
        <w:rPr>
          <w:u w:val="none"/>
        </w:rPr>
        <w:t xml:space="preserve"> </w:t>
      </w:r>
    </w:p>
    <w:p w14:paraId="4D440E92" w14:textId="77777777" w:rsidR="005B1006" w:rsidRDefault="005B1006" w:rsidP="005B1006">
      <w:pPr>
        <w:spacing w:after="0" w:line="259" w:lineRule="auto"/>
        <w:ind w:firstLine="0"/>
      </w:pPr>
      <w:r>
        <w:t xml:space="preserve"> </w:t>
      </w:r>
    </w:p>
    <w:p w14:paraId="46EFDDFE" w14:textId="77777777" w:rsidR="005B1006" w:rsidRDefault="005B1006" w:rsidP="005B1006">
      <w:pPr>
        <w:ind w:left="-10" w:right="8"/>
      </w:pPr>
      <w:r>
        <w:t xml:space="preserve">Edoksabāna drošums un efektivitāte, lietojot grūtniecēm, nav pierādīta. Pētījumi ar dzīvniekiem pierāda reproduktīvo toksicitāti (skatīt 5.3. apakšpunktu). Iespējamās reproduktīvās toksicitātes, būtiskā asiņošanas riska un pierādījuma, ka edoksabāns iekļūst placentā, dēļ Lixiana ir kontrindicēts grūtniecības laikā (skatīt 4.3. apakšpunktu). </w:t>
      </w:r>
    </w:p>
    <w:p w14:paraId="7B2422C6" w14:textId="77777777" w:rsidR="005B1006" w:rsidRDefault="005B1006" w:rsidP="005B1006">
      <w:pPr>
        <w:spacing w:after="45" w:line="259" w:lineRule="auto"/>
        <w:ind w:firstLine="0"/>
      </w:pPr>
      <w:r>
        <w:t xml:space="preserve"> </w:t>
      </w:r>
    </w:p>
    <w:p w14:paraId="34570D67" w14:textId="77777777" w:rsidR="005B1006" w:rsidRDefault="005B1006" w:rsidP="005B1006">
      <w:pPr>
        <w:pStyle w:val="Heading2"/>
        <w:ind w:left="0"/>
      </w:pPr>
      <w:r>
        <w:t>Barošana ar krūti</w:t>
      </w:r>
      <w:r>
        <w:rPr>
          <w:u w:val="none"/>
        </w:rPr>
        <w:t xml:space="preserve"> </w:t>
      </w:r>
    </w:p>
    <w:p w14:paraId="0AA9EB7B" w14:textId="77777777" w:rsidR="005B1006" w:rsidRDefault="005B1006" w:rsidP="005B1006">
      <w:pPr>
        <w:spacing w:after="0" w:line="259" w:lineRule="auto"/>
        <w:ind w:firstLine="0"/>
      </w:pPr>
      <w:r>
        <w:t xml:space="preserve"> </w:t>
      </w:r>
    </w:p>
    <w:p w14:paraId="33BB96F7" w14:textId="77777777" w:rsidR="005B1006" w:rsidRDefault="005B1006" w:rsidP="005B1006">
      <w:pPr>
        <w:ind w:left="-10" w:right="8"/>
      </w:pPr>
      <w:r>
        <w:t xml:space="preserve">Edoksabāna drošums un efektivitāte, lietojot sievietēm, kas baro bērnu ar krūti, nav pierādīta. Par dzīvniekiem iegūtie dati liecina, ka edoksabāns izdalās pienā. Tāpēc Lixiana ir kontrindicēts barošanas ar krūti laikā (skatīt 4.3. apakšpunktu). Jāpieņem lēmums pārtraukt barošanu ar krūti vai pārtraukt terapiju /atturēties no terapijas. </w:t>
      </w:r>
    </w:p>
    <w:p w14:paraId="3E9B4DEF" w14:textId="77777777" w:rsidR="005B1006" w:rsidRDefault="005B1006" w:rsidP="005B1006">
      <w:pPr>
        <w:spacing w:after="43" w:line="259" w:lineRule="auto"/>
        <w:ind w:firstLine="0"/>
      </w:pPr>
      <w:r>
        <w:t xml:space="preserve"> </w:t>
      </w:r>
    </w:p>
    <w:p w14:paraId="6709993F" w14:textId="77777777" w:rsidR="005B1006" w:rsidRDefault="005B1006" w:rsidP="005B1006">
      <w:pPr>
        <w:pStyle w:val="Heading2"/>
        <w:ind w:left="0"/>
      </w:pPr>
      <w:r>
        <w:t>Fertilitāte</w:t>
      </w:r>
      <w:r>
        <w:rPr>
          <w:u w:val="none"/>
        </w:rPr>
        <w:t xml:space="preserve"> </w:t>
      </w:r>
    </w:p>
    <w:p w14:paraId="7648F467" w14:textId="77777777" w:rsidR="005B1006" w:rsidRDefault="005B1006" w:rsidP="005B1006">
      <w:pPr>
        <w:spacing w:after="45" w:line="259" w:lineRule="auto"/>
        <w:ind w:firstLine="0"/>
      </w:pPr>
      <w:r>
        <w:t xml:space="preserve"> </w:t>
      </w:r>
    </w:p>
    <w:p w14:paraId="67D5108C" w14:textId="77777777" w:rsidR="005B1006" w:rsidRDefault="005B1006" w:rsidP="005B1006">
      <w:pPr>
        <w:spacing w:line="321" w:lineRule="auto"/>
        <w:ind w:left="-10" w:right="8"/>
      </w:pPr>
      <w:r>
        <w:t xml:space="preserve">Īpaši pētījumi, lai novērtētu edoksabāna lietošanas ietekmi uz cilvēka fertilitāti, nav veikti. Pētījumā par žurku tēviņu un mātīšu fertilitāti ietekmi nenovēroja (skatīt 5.3. apakšpunktu). </w:t>
      </w:r>
    </w:p>
    <w:p w14:paraId="73E8B1E2" w14:textId="77777777" w:rsidR="005B1006" w:rsidRDefault="005B1006" w:rsidP="005B1006">
      <w:pPr>
        <w:spacing w:after="50" w:line="259" w:lineRule="auto"/>
        <w:ind w:firstLine="0"/>
      </w:pPr>
      <w:r>
        <w:rPr>
          <w:i/>
        </w:rPr>
        <w:t xml:space="preserve"> </w:t>
      </w:r>
    </w:p>
    <w:p w14:paraId="40FD21F0" w14:textId="77777777" w:rsidR="005B1006" w:rsidRDefault="005B1006" w:rsidP="005B1006">
      <w:pPr>
        <w:tabs>
          <w:tab w:val="center" w:pos="3727"/>
        </w:tabs>
        <w:spacing w:after="0" w:line="259" w:lineRule="auto"/>
        <w:ind w:left="-10" w:firstLine="0"/>
      </w:pPr>
      <w:r>
        <w:rPr>
          <w:b/>
        </w:rPr>
        <w:t xml:space="preserve">4.7. </w:t>
      </w:r>
      <w:r>
        <w:rPr>
          <w:b/>
        </w:rPr>
        <w:tab/>
        <w:t>Ietekme uz spēju vadīt transportlīdzekļus un apkalpot mehānismus</w:t>
      </w:r>
      <w:r>
        <w:t xml:space="preserve"> </w:t>
      </w:r>
    </w:p>
    <w:p w14:paraId="4A0BD153" w14:textId="77777777" w:rsidR="005B1006" w:rsidRDefault="005B1006" w:rsidP="005B1006">
      <w:pPr>
        <w:spacing w:after="47" w:line="259" w:lineRule="auto"/>
        <w:ind w:firstLine="0"/>
      </w:pPr>
      <w:r>
        <w:t xml:space="preserve"> </w:t>
      </w:r>
    </w:p>
    <w:p w14:paraId="426A2E86" w14:textId="77777777" w:rsidR="005B1006" w:rsidRDefault="005B1006" w:rsidP="005B1006">
      <w:pPr>
        <w:ind w:left="-10" w:right="8"/>
      </w:pPr>
      <w:r>
        <w:t xml:space="preserve">Lixiana neietekmē vai nenozīmīgi ietekmē spēju vadīt transportlīdzekļus un apkalpot mehānismus. </w:t>
      </w:r>
    </w:p>
    <w:p w14:paraId="7E87AE8E" w14:textId="77777777" w:rsidR="005B1006" w:rsidRDefault="005B1006" w:rsidP="005B1006">
      <w:pPr>
        <w:spacing w:after="45" w:line="259" w:lineRule="auto"/>
        <w:ind w:firstLine="0"/>
      </w:pPr>
      <w:r>
        <w:t xml:space="preserve"> </w:t>
      </w:r>
    </w:p>
    <w:p w14:paraId="364082A9" w14:textId="77777777" w:rsidR="005B1006" w:rsidRDefault="005B1006" w:rsidP="005B1006">
      <w:pPr>
        <w:tabs>
          <w:tab w:val="center" w:pos="1888"/>
        </w:tabs>
        <w:spacing w:after="0" w:line="259" w:lineRule="auto"/>
        <w:ind w:left="-10" w:firstLine="0"/>
      </w:pPr>
      <w:r>
        <w:rPr>
          <w:b/>
        </w:rPr>
        <w:t xml:space="preserve">4.8. </w:t>
      </w:r>
      <w:r>
        <w:rPr>
          <w:b/>
        </w:rPr>
        <w:tab/>
        <w:t xml:space="preserve">Nevēlamās blakusparādības </w:t>
      </w:r>
    </w:p>
    <w:p w14:paraId="63E157A6" w14:textId="77777777" w:rsidR="005B1006" w:rsidRDefault="005B1006" w:rsidP="005B1006">
      <w:pPr>
        <w:spacing w:after="46" w:line="259" w:lineRule="auto"/>
        <w:ind w:firstLine="0"/>
      </w:pPr>
      <w:r>
        <w:t xml:space="preserve"> </w:t>
      </w:r>
    </w:p>
    <w:p w14:paraId="56EC555E" w14:textId="77777777" w:rsidR="005B1006" w:rsidRDefault="005B1006" w:rsidP="005B1006">
      <w:pPr>
        <w:pStyle w:val="Heading2"/>
        <w:ind w:left="0"/>
      </w:pPr>
      <w:r>
        <w:t>Drošuma profila kopsavilkums</w:t>
      </w:r>
      <w:r>
        <w:rPr>
          <w:u w:val="none"/>
        </w:rPr>
        <w:t xml:space="preserve"> </w:t>
      </w:r>
    </w:p>
    <w:p w14:paraId="4393DDBA" w14:textId="77777777" w:rsidR="005B1006" w:rsidRDefault="005B1006" w:rsidP="005B1006">
      <w:pPr>
        <w:spacing w:after="38" w:line="259" w:lineRule="auto"/>
        <w:ind w:firstLine="0"/>
      </w:pPr>
      <w:r>
        <w:t xml:space="preserve"> </w:t>
      </w:r>
    </w:p>
    <w:p w14:paraId="1AADF599" w14:textId="77777777" w:rsidR="005B1006" w:rsidRDefault="005B1006" w:rsidP="005B1006">
      <w:pPr>
        <w:spacing w:line="319" w:lineRule="auto"/>
        <w:ind w:left="-10" w:right="8"/>
      </w:pPr>
      <w:r>
        <w:t xml:space="preserve">Edoksabāna drošuma profila pamatā ir divi 3. fāzes pētījumi (21 105 pacienti ar NVPM un 8292 pacienti ar VTE (DVT un PE)), kā arī pēcreģistrācijas pieredzes dati. </w:t>
      </w:r>
    </w:p>
    <w:p w14:paraId="1EB3BDEF" w14:textId="77777777" w:rsidR="005B1006" w:rsidRDefault="005B1006" w:rsidP="005B1006">
      <w:pPr>
        <w:spacing w:after="31"/>
        <w:ind w:left="-10" w:right="8"/>
      </w:pPr>
      <w:r>
        <w:t xml:space="preserve">Visbiežāk ziņotās nevēlamās blakusparādības saistībā ar ārstēšanu ar edoksabānu ir deguna asiņošana (7,7%), hematūrija (6,9%) un anēmija (5,3%). </w:t>
      </w:r>
    </w:p>
    <w:p w14:paraId="708A3B02" w14:textId="77777777" w:rsidR="005B1006" w:rsidRDefault="005B1006" w:rsidP="005B1006">
      <w:pPr>
        <w:spacing w:after="45" w:line="259" w:lineRule="auto"/>
        <w:ind w:firstLine="0"/>
      </w:pPr>
      <w:r>
        <w:t xml:space="preserve"> </w:t>
      </w:r>
    </w:p>
    <w:p w14:paraId="0206BCFB" w14:textId="77777777" w:rsidR="005B1006" w:rsidRDefault="005B1006" w:rsidP="005B1006">
      <w:pPr>
        <w:ind w:left="-10" w:right="8"/>
      </w:pPr>
      <w:r>
        <w:t xml:space="preserve">Asiņošana iespējama jebkurā vietā un var būt smaga un pat letāla (skatīt 4.4. apakšpunktu). </w:t>
      </w:r>
    </w:p>
    <w:p w14:paraId="578CA965" w14:textId="77777777" w:rsidR="005B1006" w:rsidRDefault="005B1006" w:rsidP="005B1006">
      <w:pPr>
        <w:spacing w:after="46" w:line="259" w:lineRule="auto"/>
        <w:ind w:firstLine="0"/>
      </w:pPr>
      <w:r>
        <w:t xml:space="preserve"> </w:t>
      </w:r>
    </w:p>
    <w:p w14:paraId="4A4B7B15" w14:textId="77777777" w:rsidR="005B1006" w:rsidRDefault="005B1006" w:rsidP="005B1006">
      <w:pPr>
        <w:pStyle w:val="Heading2"/>
        <w:ind w:left="0"/>
      </w:pPr>
      <w:r>
        <w:t>Nevēlamo blakusparādību saraksts tabulas veidā</w:t>
      </w:r>
      <w:r>
        <w:rPr>
          <w:u w:val="none"/>
        </w:rPr>
        <w:t xml:space="preserve"> </w:t>
      </w:r>
    </w:p>
    <w:p w14:paraId="4CBDBAFB" w14:textId="77777777" w:rsidR="005B1006" w:rsidRDefault="005B1006" w:rsidP="005B1006">
      <w:pPr>
        <w:spacing w:after="46" w:line="259" w:lineRule="auto"/>
        <w:ind w:firstLine="0"/>
      </w:pPr>
      <w:r>
        <w:t xml:space="preserve"> </w:t>
      </w:r>
    </w:p>
    <w:p w14:paraId="25BB0DAC" w14:textId="77777777" w:rsidR="005B1006" w:rsidRDefault="005B1006" w:rsidP="005B1006">
      <w:pPr>
        <w:spacing w:line="321" w:lineRule="auto"/>
        <w:ind w:left="-10" w:right="8"/>
      </w:pPr>
      <w:r>
        <w:t xml:space="preserve">3. tabulā norādītas blakusparādības, kas novērotas divos pivotālos 3. fāzes pētījumos pacientiem ar VTE un NVPM, apvienojot abas indikācijas un nevēlamās blakusparādības, kas konstatētas pēcreģistrācijas laikā. Blakusparādības sakārtotas pa MedDRA orgānu sistēmu klasēm (OSK) un pēc biežuma atbilstīgi šādam iedalījumam:  ļoti bieži (≥1/10), bieži (≥1/100 līdz &lt;1/10), retāk (≥1/1000 līdz &lt;1/100), reti (≥1/10 000 līdz &lt;1/1000), ļoti reti (&lt;1/10 000). </w:t>
      </w:r>
    </w:p>
    <w:p w14:paraId="140834D6" w14:textId="77777777" w:rsidR="005B1006" w:rsidRDefault="005B1006" w:rsidP="005B1006">
      <w:pPr>
        <w:spacing w:after="51" w:line="259" w:lineRule="auto"/>
        <w:ind w:firstLine="0"/>
      </w:pPr>
      <w:r>
        <w:t xml:space="preserve"> </w:t>
      </w:r>
    </w:p>
    <w:p w14:paraId="19DFB5CF" w14:textId="77777777" w:rsidR="005B1006" w:rsidRDefault="005B1006" w:rsidP="005B1006">
      <w:pPr>
        <w:pStyle w:val="Heading3"/>
        <w:spacing w:after="0"/>
        <w:ind w:left="0"/>
      </w:pPr>
      <w:r>
        <w:rPr>
          <w:b/>
          <w:i w:val="0"/>
        </w:rPr>
        <w:t xml:space="preserve">3. tabula. Blakusparādību saraksts NVPM un VTE gadījumā </w:t>
      </w:r>
    </w:p>
    <w:tbl>
      <w:tblPr>
        <w:tblStyle w:val="TableGrid"/>
        <w:tblW w:w="8928" w:type="dxa"/>
        <w:tblInd w:w="72" w:type="dxa"/>
        <w:tblCellMar>
          <w:top w:w="26" w:type="dxa"/>
          <w:left w:w="56" w:type="dxa"/>
          <w:bottom w:w="0" w:type="dxa"/>
          <w:right w:w="115" w:type="dxa"/>
        </w:tblCellMar>
        <w:tblLook w:val="04A0" w:firstRow="1" w:lastRow="0" w:firstColumn="1" w:lastColumn="0" w:noHBand="0" w:noVBand="1"/>
      </w:tblPr>
      <w:tblGrid>
        <w:gridCol w:w="6944"/>
        <w:gridCol w:w="1984"/>
      </w:tblGrid>
      <w:tr w:rsidR="005B1006" w14:paraId="56FBEBC2" w14:textId="77777777" w:rsidTr="00A250AE">
        <w:trPr>
          <w:trHeight w:val="345"/>
        </w:trPr>
        <w:tc>
          <w:tcPr>
            <w:tcW w:w="6944" w:type="dxa"/>
            <w:tcBorders>
              <w:top w:val="single" w:sz="6" w:space="0" w:color="000000"/>
              <w:left w:val="single" w:sz="6" w:space="0" w:color="000000"/>
              <w:bottom w:val="single" w:sz="6" w:space="0" w:color="000000"/>
              <w:right w:val="single" w:sz="6" w:space="0" w:color="000000"/>
            </w:tcBorders>
            <w:shd w:val="clear" w:color="auto" w:fill="D9D9D9"/>
          </w:tcPr>
          <w:p w14:paraId="364E854A" w14:textId="77777777" w:rsidR="005B1006" w:rsidRDefault="005B1006" w:rsidP="00A250AE">
            <w:pPr>
              <w:spacing w:after="0" w:line="259" w:lineRule="auto"/>
              <w:ind w:left="0" w:firstLine="0"/>
            </w:pPr>
            <w:r>
              <w:rPr>
                <w:b/>
              </w:rPr>
              <w:t xml:space="preserve">Orgānu sistēmu klase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Pr>
          <w:p w14:paraId="7D5C3F78" w14:textId="77777777" w:rsidR="005B1006" w:rsidRDefault="005B1006" w:rsidP="00A250AE">
            <w:pPr>
              <w:spacing w:after="0" w:line="259" w:lineRule="auto"/>
              <w:ind w:left="3" w:firstLine="0"/>
            </w:pPr>
            <w:r>
              <w:rPr>
                <w:b/>
              </w:rPr>
              <w:t xml:space="preserve">Biežums </w:t>
            </w:r>
          </w:p>
        </w:tc>
      </w:tr>
      <w:tr w:rsidR="005B1006" w14:paraId="3BDE28AA" w14:textId="77777777" w:rsidTr="00A250AE">
        <w:trPr>
          <w:trHeight w:val="350"/>
        </w:trPr>
        <w:tc>
          <w:tcPr>
            <w:tcW w:w="6944" w:type="dxa"/>
            <w:tcBorders>
              <w:top w:val="single" w:sz="6" w:space="0" w:color="000000"/>
              <w:left w:val="single" w:sz="6" w:space="0" w:color="000000"/>
              <w:bottom w:val="single" w:sz="6" w:space="0" w:color="000000"/>
              <w:right w:val="single" w:sz="6" w:space="0" w:color="000000"/>
            </w:tcBorders>
          </w:tcPr>
          <w:p w14:paraId="19905369" w14:textId="77777777" w:rsidR="005B1006" w:rsidRDefault="005B1006" w:rsidP="00A250AE">
            <w:pPr>
              <w:spacing w:after="0" w:line="259" w:lineRule="auto"/>
              <w:ind w:left="0" w:firstLine="0"/>
            </w:pPr>
            <w:r>
              <w:rPr>
                <w:b/>
              </w:rPr>
              <w:t xml:space="preserve">Asins un limfātiskās sistēmas traucējumi </w:t>
            </w:r>
          </w:p>
        </w:tc>
        <w:tc>
          <w:tcPr>
            <w:tcW w:w="1984" w:type="dxa"/>
            <w:tcBorders>
              <w:top w:val="single" w:sz="6" w:space="0" w:color="000000"/>
              <w:left w:val="single" w:sz="6" w:space="0" w:color="000000"/>
              <w:bottom w:val="single" w:sz="6" w:space="0" w:color="000000"/>
              <w:right w:val="single" w:sz="6" w:space="0" w:color="000000"/>
            </w:tcBorders>
          </w:tcPr>
          <w:p w14:paraId="50DCA621" w14:textId="77777777" w:rsidR="005B1006" w:rsidRDefault="005B1006" w:rsidP="00A250AE">
            <w:pPr>
              <w:spacing w:after="0" w:line="259" w:lineRule="auto"/>
              <w:ind w:left="3" w:firstLine="0"/>
            </w:pPr>
            <w:r>
              <w:rPr>
                <w:b/>
              </w:rPr>
              <w:t xml:space="preserve"> </w:t>
            </w:r>
          </w:p>
        </w:tc>
      </w:tr>
      <w:tr w:rsidR="005B1006" w14:paraId="4C7364E3"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54CAD214" w14:textId="77777777" w:rsidR="005B1006" w:rsidRDefault="005B1006" w:rsidP="00A250AE">
            <w:pPr>
              <w:spacing w:after="0" w:line="259" w:lineRule="auto"/>
              <w:ind w:left="0" w:firstLine="0"/>
            </w:pPr>
            <w:r>
              <w:t xml:space="preserve">Anēmija </w:t>
            </w:r>
          </w:p>
        </w:tc>
        <w:tc>
          <w:tcPr>
            <w:tcW w:w="1984" w:type="dxa"/>
            <w:tcBorders>
              <w:top w:val="single" w:sz="6" w:space="0" w:color="000000"/>
              <w:left w:val="single" w:sz="6" w:space="0" w:color="000000"/>
              <w:bottom w:val="single" w:sz="6" w:space="0" w:color="000000"/>
              <w:right w:val="single" w:sz="6" w:space="0" w:color="000000"/>
            </w:tcBorders>
          </w:tcPr>
          <w:p w14:paraId="03EA3EAF" w14:textId="77777777" w:rsidR="005B1006" w:rsidRDefault="005B1006" w:rsidP="00A250AE">
            <w:pPr>
              <w:spacing w:after="0" w:line="259" w:lineRule="auto"/>
              <w:ind w:left="3" w:firstLine="0"/>
            </w:pPr>
            <w:r>
              <w:t xml:space="preserve">Bieži </w:t>
            </w:r>
          </w:p>
        </w:tc>
      </w:tr>
      <w:tr w:rsidR="005B1006" w14:paraId="06B06C8A"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01F243D7" w14:textId="77777777" w:rsidR="005B1006" w:rsidRDefault="005B1006" w:rsidP="00A250AE">
            <w:pPr>
              <w:spacing w:after="0" w:line="259" w:lineRule="auto"/>
              <w:ind w:left="0" w:firstLine="0"/>
            </w:pPr>
            <w:r>
              <w:t xml:space="preserve">Trombocitopēnija </w:t>
            </w:r>
          </w:p>
        </w:tc>
        <w:tc>
          <w:tcPr>
            <w:tcW w:w="1984" w:type="dxa"/>
            <w:tcBorders>
              <w:top w:val="single" w:sz="6" w:space="0" w:color="000000"/>
              <w:left w:val="single" w:sz="6" w:space="0" w:color="000000"/>
              <w:bottom w:val="single" w:sz="6" w:space="0" w:color="000000"/>
              <w:right w:val="single" w:sz="6" w:space="0" w:color="000000"/>
            </w:tcBorders>
          </w:tcPr>
          <w:p w14:paraId="46214DBF" w14:textId="77777777" w:rsidR="005B1006" w:rsidRDefault="005B1006" w:rsidP="00A250AE">
            <w:pPr>
              <w:spacing w:after="0" w:line="259" w:lineRule="auto"/>
              <w:ind w:left="3" w:firstLine="0"/>
            </w:pPr>
            <w:r>
              <w:t xml:space="preserve">Retāk </w:t>
            </w:r>
          </w:p>
        </w:tc>
      </w:tr>
      <w:tr w:rsidR="005B1006" w14:paraId="7273F3C1"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39408D93" w14:textId="77777777" w:rsidR="005B1006" w:rsidRDefault="005B1006" w:rsidP="00A250AE">
            <w:pPr>
              <w:spacing w:after="0" w:line="259" w:lineRule="auto"/>
              <w:ind w:left="0" w:firstLine="0"/>
            </w:pPr>
            <w:r>
              <w:rPr>
                <w:b/>
              </w:rPr>
              <w:t xml:space="preserve">Imūnās sistēmas traucējumi </w:t>
            </w:r>
          </w:p>
        </w:tc>
        <w:tc>
          <w:tcPr>
            <w:tcW w:w="1984" w:type="dxa"/>
            <w:tcBorders>
              <w:top w:val="single" w:sz="6" w:space="0" w:color="000000"/>
              <w:left w:val="single" w:sz="6" w:space="0" w:color="000000"/>
              <w:bottom w:val="single" w:sz="6" w:space="0" w:color="000000"/>
              <w:right w:val="single" w:sz="6" w:space="0" w:color="000000"/>
            </w:tcBorders>
          </w:tcPr>
          <w:p w14:paraId="7C841704" w14:textId="77777777" w:rsidR="005B1006" w:rsidRDefault="005B1006" w:rsidP="00A250AE">
            <w:pPr>
              <w:spacing w:after="0" w:line="259" w:lineRule="auto"/>
              <w:ind w:left="3" w:firstLine="0"/>
            </w:pPr>
            <w:r>
              <w:t xml:space="preserve"> </w:t>
            </w:r>
          </w:p>
        </w:tc>
      </w:tr>
      <w:tr w:rsidR="005B1006" w14:paraId="76C1CA35"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55B2454" w14:textId="77777777" w:rsidR="005B1006" w:rsidRDefault="005B1006" w:rsidP="00A250AE">
            <w:pPr>
              <w:spacing w:after="0" w:line="259" w:lineRule="auto"/>
              <w:ind w:left="0" w:firstLine="0"/>
            </w:pPr>
            <w:r>
              <w:t xml:space="preserve">Paaugstināta jutība </w:t>
            </w:r>
          </w:p>
        </w:tc>
        <w:tc>
          <w:tcPr>
            <w:tcW w:w="1984" w:type="dxa"/>
            <w:tcBorders>
              <w:top w:val="single" w:sz="6" w:space="0" w:color="000000"/>
              <w:left w:val="single" w:sz="6" w:space="0" w:color="000000"/>
              <w:bottom w:val="single" w:sz="6" w:space="0" w:color="000000"/>
              <w:right w:val="single" w:sz="6" w:space="0" w:color="000000"/>
            </w:tcBorders>
          </w:tcPr>
          <w:p w14:paraId="748D9609" w14:textId="77777777" w:rsidR="005B1006" w:rsidRDefault="005B1006" w:rsidP="00A250AE">
            <w:pPr>
              <w:spacing w:after="0" w:line="259" w:lineRule="auto"/>
              <w:ind w:left="3" w:firstLine="0"/>
            </w:pPr>
            <w:r>
              <w:t xml:space="preserve">Retāk </w:t>
            </w:r>
          </w:p>
        </w:tc>
      </w:tr>
      <w:tr w:rsidR="005B1006" w14:paraId="71D438B9"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037745AC" w14:textId="77777777" w:rsidR="005B1006" w:rsidRDefault="005B1006" w:rsidP="00A250AE">
            <w:pPr>
              <w:spacing w:after="0" w:line="259" w:lineRule="auto"/>
              <w:ind w:left="0" w:firstLine="0"/>
            </w:pPr>
            <w:r>
              <w:t xml:space="preserve">Anafilaktiska reakcija </w:t>
            </w:r>
          </w:p>
        </w:tc>
        <w:tc>
          <w:tcPr>
            <w:tcW w:w="1984" w:type="dxa"/>
            <w:tcBorders>
              <w:top w:val="single" w:sz="6" w:space="0" w:color="000000"/>
              <w:left w:val="single" w:sz="6" w:space="0" w:color="000000"/>
              <w:bottom w:val="single" w:sz="6" w:space="0" w:color="000000"/>
              <w:right w:val="single" w:sz="6" w:space="0" w:color="000000"/>
            </w:tcBorders>
          </w:tcPr>
          <w:p w14:paraId="11B8990D" w14:textId="77777777" w:rsidR="005B1006" w:rsidRDefault="005B1006" w:rsidP="00A250AE">
            <w:pPr>
              <w:spacing w:after="0" w:line="259" w:lineRule="auto"/>
              <w:ind w:left="3" w:firstLine="0"/>
            </w:pPr>
            <w:r>
              <w:t xml:space="preserve">Reti </w:t>
            </w:r>
          </w:p>
        </w:tc>
      </w:tr>
      <w:tr w:rsidR="005B1006" w14:paraId="1FC7C4DA"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75910977" w14:textId="77777777" w:rsidR="005B1006" w:rsidRDefault="005B1006" w:rsidP="00A250AE">
            <w:pPr>
              <w:spacing w:after="0" w:line="259" w:lineRule="auto"/>
              <w:ind w:left="0" w:firstLine="0"/>
            </w:pPr>
            <w:r>
              <w:t xml:space="preserve">Alerģiska tūska </w:t>
            </w:r>
          </w:p>
        </w:tc>
        <w:tc>
          <w:tcPr>
            <w:tcW w:w="1984" w:type="dxa"/>
            <w:tcBorders>
              <w:top w:val="single" w:sz="6" w:space="0" w:color="000000"/>
              <w:left w:val="single" w:sz="6" w:space="0" w:color="000000"/>
              <w:bottom w:val="single" w:sz="6" w:space="0" w:color="000000"/>
              <w:right w:val="single" w:sz="6" w:space="0" w:color="000000"/>
            </w:tcBorders>
          </w:tcPr>
          <w:p w14:paraId="58250899" w14:textId="77777777" w:rsidR="005B1006" w:rsidRDefault="005B1006" w:rsidP="00A250AE">
            <w:pPr>
              <w:spacing w:after="0" w:line="259" w:lineRule="auto"/>
              <w:ind w:left="3" w:firstLine="0"/>
            </w:pPr>
            <w:r>
              <w:t xml:space="preserve">Reti </w:t>
            </w:r>
          </w:p>
        </w:tc>
      </w:tr>
      <w:tr w:rsidR="005B1006" w14:paraId="4B65A2B3"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4DD7AEEB" w14:textId="77777777" w:rsidR="005B1006" w:rsidRDefault="005B1006" w:rsidP="00A250AE">
            <w:pPr>
              <w:spacing w:after="0" w:line="259" w:lineRule="auto"/>
              <w:ind w:left="0" w:firstLine="0"/>
            </w:pPr>
            <w:r>
              <w:rPr>
                <w:b/>
              </w:rPr>
              <w:t xml:space="preserve">Nervu sistēmas traucējumi </w:t>
            </w:r>
          </w:p>
        </w:tc>
        <w:tc>
          <w:tcPr>
            <w:tcW w:w="1984" w:type="dxa"/>
            <w:tcBorders>
              <w:top w:val="single" w:sz="6" w:space="0" w:color="000000"/>
              <w:left w:val="single" w:sz="6" w:space="0" w:color="000000"/>
              <w:bottom w:val="single" w:sz="6" w:space="0" w:color="000000"/>
              <w:right w:val="single" w:sz="6" w:space="0" w:color="000000"/>
            </w:tcBorders>
          </w:tcPr>
          <w:p w14:paraId="665E5166" w14:textId="77777777" w:rsidR="005B1006" w:rsidRDefault="005B1006" w:rsidP="00A250AE">
            <w:pPr>
              <w:spacing w:after="0" w:line="259" w:lineRule="auto"/>
              <w:ind w:left="3" w:firstLine="0"/>
            </w:pPr>
            <w:r>
              <w:rPr>
                <w:b/>
              </w:rPr>
              <w:t xml:space="preserve"> </w:t>
            </w:r>
          </w:p>
        </w:tc>
      </w:tr>
      <w:tr w:rsidR="005B1006" w14:paraId="392595F8"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51F9568" w14:textId="77777777" w:rsidR="005B1006" w:rsidRDefault="005B1006" w:rsidP="00A250AE">
            <w:pPr>
              <w:spacing w:after="0" w:line="259" w:lineRule="auto"/>
              <w:ind w:left="0" w:firstLine="0"/>
            </w:pPr>
            <w:r>
              <w:t>Reibonis</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77B36B3A" w14:textId="77777777" w:rsidR="005B1006" w:rsidRDefault="005B1006" w:rsidP="00A250AE">
            <w:pPr>
              <w:spacing w:after="0" w:line="259" w:lineRule="auto"/>
              <w:ind w:left="3" w:firstLine="0"/>
            </w:pPr>
            <w:r>
              <w:t>Bieži</w:t>
            </w:r>
            <w:r>
              <w:rPr>
                <w:b/>
              </w:rPr>
              <w:t xml:space="preserve"> </w:t>
            </w:r>
          </w:p>
        </w:tc>
      </w:tr>
      <w:tr w:rsidR="005B1006" w14:paraId="673FF66B"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71F71558" w14:textId="77777777" w:rsidR="005B1006" w:rsidRDefault="005B1006" w:rsidP="00A250AE">
            <w:pPr>
              <w:spacing w:after="0" w:line="259" w:lineRule="auto"/>
              <w:ind w:left="0" w:firstLine="0"/>
            </w:pPr>
            <w:r>
              <w:t>Galvassāpes</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2EFAD166" w14:textId="77777777" w:rsidR="005B1006" w:rsidRDefault="005B1006" w:rsidP="00A250AE">
            <w:pPr>
              <w:spacing w:after="0" w:line="259" w:lineRule="auto"/>
              <w:ind w:left="3" w:firstLine="0"/>
            </w:pPr>
            <w:r>
              <w:t>Bieži</w:t>
            </w:r>
            <w:r>
              <w:rPr>
                <w:b/>
              </w:rPr>
              <w:t xml:space="preserve"> </w:t>
            </w:r>
          </w:p>
        </w:tc>
      </w:tr>
      <w:tr w:rsidR="005B1006" w14:paraId="5B3CEE22"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BDD41D6" w14:textId="77777777" w:rsidR="005B1006" w:rsidRDefault="005B1006" w:rsidP="00A250AE">
            <w:pPr>
              <w:spacing w:after="0" w:line="259" w:lineRule="auto"/>
              <w:ind w:left="0" w:firstLine="0"/>
            </w:pPr>
            <w:r>
              <w:t xml:space="preserve">Intrakraniāla asiņošana (IKA) </w:t>
            </w:r>
          </w:p>
        </w:tc>
        <w:tc>
          <w:tcPr>
            <w:tcW w:w="1984" w:type="dxa"/>
            <w:tcBorders>
              <w:top w:val="single" w:sz="6" w:space="0" w:color="000000"/>
              <w:left w:val="single" w:sz="6" w:space="0" w:color="000000"/>
              <w:bottom w:val="single" w:sz="6" w:space="0" w:color="000000"/>
              <w:right w:val="single" w:sz="6" w:space="0" w:color="000000"/>
            </w:tcBorders>
          </w:tcPr>
          <w:p w14:paraId="123375DA" w14:textId="77777777" w:rsidR="005B1006" w:rsidRDefault="005B1006" w:rsidP="00A250AE">
            <w:pPr>
              <w:spacing w:after="0" w:line="259" w:lineRule="auto"/>
              <w:ind w:left="3" w:firstLine="0"/>
            </w:pPr>
            <w:r>
              <w:t xml:space="preserve">Retāk </w:t>
            </w:r>
          </w:p>
        </w:tc>
      </w:tr>
      <w:tr w:rsidR="005B1006" w14:paraId="14687119"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4B886232" w14:textId="77777777" w:rsidR="005B1006" w:rsidRDefault="005B1006" w:rsidP="00A250AE">
            <w:pPr>
              <w:spacing w:after="0" w:line="259" w:lineRule="auto"/>
              <w:ind w:left="0" w:firstLine="0"/>
            </w:pPr>
            <w:r>
              <w:t xml:space="preserve">Subarahnoidāls asinsizplūdums </w:t>
            </w:r>
          </w:p>
        </w:tc>
        <w:tc>
          <w:tcPr>
            <w:tcW w:w="1984" w:type="dxa"/>
            <w:tcBorders>
              <w:top w:val="single" w:sz="6" w:space="0" w:color="000000"/>
              <w:left w:val="single" w:sz="6" w:space="0" w:color="000000"/>
              <w:bottom w:val="single" w:sz="6" w:space="0" w:color="000000"/>
              <w:right w:val="single" w:sz="6" w:space="0" w:color="000000"/>
            </w:tcBorders>
          </w:tcPr>
          <w:p w14:paraId="4A2BFBD2" w14:textId="77777777" w:rsidR="005B1006" w:rsidRDefault="005B1006" w:rsidP="00A250AE">
            <w:pPr>
              <w:spacing w:after="0" w:line="259" w:lineRule="auto"/>
              <w:ind w:left="3" w:firstLine="0"/>
            </w:pPr>
            <w:r>
              <w:t xml:space="preserve">Reti </w:t>
            </w:r>
          </w:p>
        </w:tc>
      </w:tr>
      <w:tr w:rsidR="005B1006" w14:paraId="19817DDB"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05C77C57" w14:textId="77777777" w:rsidR="005B1006" w:rsidRDefault="005B1006" w:rsidP="00A250AE">
            <w:pPr>
              <w:spacing w:after="0" w:line="259" w:lineRule="auto"/>
              <w:ind w:left="0" w:firstLine="0"/>
            </w:pPr>
            <w:r>
              <w:rPr>
                <w:b/>
              </w:rPr>
              <w:t xml:space="preserve">Acu bojājumi </w:t>
            </w:r>
          </w:p>
        </w:tc>
        <w:tc>
          <w:tcPr>
            <w:tcW w:w="1984" w:type="dxa"/>
            <w:tcBorders>
              <w:top w:val="single" w:sz="6" w:space="0" w:color="000000"/>
              <w:left w:val="single" w:sz="6" w:space="0" w:color="000000"/>
              <w:bottom w:val="single" w:sz="6" w:space="0" w:color="000000"/>
              <w:right w:val="single" w:sz="6" w:space="0" w:color="000000"/>
            </w:tcBorders>
          </w:tcPr>
          <w:p w14:paraId="50F9C82E" w14:textId="77777777" w:rsidR="005B1006" w:rsidRDefault="005B1006" w:rsidP="00A250AE">
            <w:pPr>
              <w:spacing w:after="0" w:line="259" w:lineRule="auto"/>
              <w:ind w:left="3" w:firstLine="0"/>
            </w:pPr>
            <w:r>
              <w:rPr>
                <w:b/>
              </w:rPr>
              <w:t xml:space="preserve"> </w:t>
            </w:r>
          </w:p>
        </w:tc>
      </w:tr>
      <w:tr w:rsidR="005B1006" w14:paraId="11BED36B"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7C5F8AD" w14:textId="77777777" w:rsidR="005B1006" w:rsidRDefault="005B1006" w:rsidP="00A250AE">
            <w:pPr>
              <w:spacing w:after="0" w:line="259" w:lineRule="auto"/>
              <w:ind w:left="0" w:firstLine="0"/>
            </w:pPr>
            <w:r>
              <w:t xml:space="preserve">Konjunktīvas/sklēras asiņošana </w:t>
            </w:r>
          </w:p>
        </w:tc>
        <w:tc>
          <w:tcPr>
            <w:tcW w:w="1984" w:type="dxa"/>
            <w:tcBorders>
              <w:top w:val="single" w:sz="6" w:space="0" w:color="000000"/>
              <w:left w:val="single" w:sz="6" w:space="0" w:color="000000"/>
              <w:bottom w:val="single" w:sz="6" w:space="0" w:color="000000"/>
              <w:right w:val="single" w:sz="6" w:space="0" w:color="000000"/>
            </w:tcBorders>
          </w:tcPr>
          <w:p w14:paraId="20E1CE94" w14:textId="77777777" w:rsidR="005B1006" w:rsidRDefault="005B1006" w:rsidP="00A250AE">
            <w:pPr>
              <w:spacing w:after="0" w:line="259" w:lineRule="auto"/>
              <w:ind w:left="3" w:firstLine="0"/>
            </w:pPr>
            <w:r>
              <w:t xml:space="preserve">Retāk </w:t>
            </w:r>
          </w:p>
        </w:tc>
      </w:tr>
      <w:tr w:rsidR="005B1006" w14:paraId="763F0C0C"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0C16691" w14:textId="77777777" w:rsidR="005B1006" w:rsidRDefault="005B1006" w:rsidP="00A250AE">
            <w:pPr>
              <w:spacing w:after="0" w:line="259" w:lineRule="auto"/>
              <w:ind w:left="0" w:firstLine="0"/>
            </w:pPr>
            <w:r>
              <w:t xml:space="preserve">Acs iekšēja asiņošana </w:t>
            </w:r>
          </w:p>
        </w:tc>
        <w:tc>
          <w:tcPr>
            <w:tcW w:w="1984" w:type="dxa"/>
            <w:tcBorders>
              <w:top w:val="single" w:sz="6" w:space="0" w:color="000000"/>
              <w:left w:val="single" w:sz="6" w:space="0" w:color="000000"/>
              <w:bottom w:val="single" w:sz="6" w:space="0" w:color="000000"/>
              <w:right w:val="single" w:sz="6" w:space="0" w:color="000000"/>
            </w:tcBorders>
          </w:tcPr>
          <w:p w14:paraId="7688B971" w14:textId="77777777" w:rsidR="005B1006" w:rsidRDefault="005B1006" w:rsidP="00A250AE">
            <w:pPr>
              <w:spacing w:after="0" w:line="259" w:lineRule="auto"/>
              <w:ind w:left="3" w:firstLine="0"/>
            </w:pPr>
            <w:r>
              <w:t xml:space="preserve">Retāk </w:t>
            </w:r>
          </w:p>
        </w:tc>
      </w:tr>
      <w:tr w:rsidR="005B1006" w14:paraId="3E086752"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BBE2D0E" w14:textId="77777777" w:rsidR="005B1006" w:rsidRDefault="005B1006" w:rsidP="00A250AE">
            <w:pPr>
              <w:spacing w:after="0" w:line="259" w:lineRule="auto"/>
              <w:ind w:left="0" w:firstLine="0"/>
            </w:pPr>
            <w:r>
              <w:rPr>
                <w:b/>
              </w:rPr>
              <w:t xml:space="preserve">Sirds funkcijas traucējumi </w:t>
            </w:r>
          </w:p>
        </w:tc>
        <w:tc>
          <w:tcPr>
            <w:tcW w:w="1984" w:type="dxa"/>
            <w:tcBorders>
              <w:top w:val="single" w:sz="6" w:space="0" w:color="000000"/>
              <w:left w:val="single" w:sz="6" w:space="0" w:color="000000"/>
              <w:bottom w:val="single" w:sz="6" w:space="0" w:color="000000"/>
              <w:right w:val="single" w:sz="6" w:space="0" w:color="000000"/>
            </w:tcBorders>
          </w:tcPr>
          <w:p w14:paraId="79D3664C" w14:textId="77777777" w:rsidR="005B1006" w:rsidRDefault="005B1006" w:rsidP="00A250AE">
            <w:pPr>
              <w:spacing w:after="0" w:line="259" w:lineRule="auto"/>
              <w:ind w:left="3" w:firstLine="0"/>
            </w:pPr>
            <w:r>
              <w:rPr>
                <w:b/>
              </w:rPr>
              <w:t xml:space="preserve"> </w:t>
            </w:r>
          </w:p>
        </w:tc>
      </w:tr>
      <w:tr w:rsidR="005B1006" w14:paraId="543C822A" w14:textId="77777777" w:rsidTr="00A250AE">
        <w:trPr>
          <w:trHeight w:val="346"/>
        </w:trPr>
        <w:tc>
          <w:tcPr>
            <w:tcW w:w="6944" w:type="dxa"/>
            <w:tcBorders>
              <w:top w:val="single" w:sz="6" w:space="0" w:color="000000"/>
              <w:left w:val="single" w:sz="6" w:space="0" w:color="000000"/>
              <w:bottom w:val="single" w:sz="6" w:space="0" w:color="000000"/>
              <w:right w:val="single" w:sz="6" w:space="0" w:color="000000"/>
            </w:tcBorders>
          </w:tcPr>
          <w:p w14:paraId="63709C6A" w14:textId="77777777" w:rsidR="005B1006" w:rsidRDefault="005B1006" w:rsidP="00A250AE">
            <w:pPr>
              <w:spacing w:after="0" w:line="259" w:lineRule="auto"/>
              <w:ind w:left="0" w:firstLine="0"/>
            </w:pPr>
            <w:r>
              <w:t xml:space="preserve">Perikarda asiņošana </w:t>
            </w:r>
          </w:p>
        </w:tc>
        <w:tc>
          <w:tcPr>
            <w:tcW w:w="1984" w:type="dxa"/>
            <w:tcBorders>
              <w:top w:val="single" w:sz="6" w:space="0" w:color="000000"/>
              <w:left w:val="single" w:sz="6" w:space="0" w:color="000000"/>
              <w:bottom w:val="single" w:sz="6" w:space="0" w:color="000000"/>
              <w:right w:val="single" w:sz="6" w:space="0" w:color="000000"/>
            </w:tcBorders>
          </w:tcPr>
          <w:p w14:paraId="722D705D" w14:textId="77777777" w:rsidR="005B1006" w:rsidRDefault="005B1006" w:rsidP="00A250AE">
            <w:pPr>
              <w:spacing w:after="0" w:line="259" w:lineRule="auto"/>
              <w:ind w:left="3" w:firstLine="0"/>
            </w:pPr>
            <w:r>
              <w:t xml:space="preserve">Reti </w:t>
            </w:r>
          </w:p>
        </w:tc>
      </w:tr>
    </w:tbl>
    <w:p w14:paraId="305A7221" w14:textId="77777777" w:rsidR="005B1006" w:rsidRDefault="005B1006" w:rsidP="005B1006">
      <w:pPr>
        <w:spacing w:after="0" w:line="259" w:lineRule="auto"/>
        <w:ind w:left="-1556" w:right="10489" w:firstLine="0"/>
      </w:pPr>
    </w:p>
    <w:tbl>
      <w:tblPr>
        <w:tblStyle w:val="TableGrid"/>
        <w:tblW w:w="8928" w:type="dxa"/>
        <w:tblInd w:w="72" w:type="dxa"/>
        <w:tblCellMar>
          <w:top w:w="26" w:type="dxa"/>
          <w:left w:w="56" w:type="dxa"/>
          <w:bottom w:w="0" w:type="dxa"/>
          <w:right w:w="115" w:type="dxa"/>
        </w:tblCellMar>
        <w:tblLook w:val="04A0" w:firstRow="1" w:lastRow="0" w:firstColumn="1" w:lastColumn="0" w:noHBand="0" w:noVBand="1"/>
      </w:tblPr>
      <w:tblGrid>
        <w:gridCol w:w="6944"/>
        <w:gridCol w:w="1984"/>
      </w:tblGrid>
      <w:tr w:rsidR="005B1006" w14:paraId="358F3298" w14:textId="77777777" w:rsidTr="00A250AE">
        <w:trPr>
          <w:trHeight w:val="345"/>
        </w:trPr>
        <w:tc>
          <w:tcPr>
            <w:tcW w:w="6944" w:type="dxa"/>
            <w:tcBorders>
              <w:top w:val="single" w:sz="6" w:space="0" w:color="000000"/>
              <w:left w:val="single" w:sz="6" w:space="0" w:color="000000"/>
              <w:bottom w:val="single" w:sz="6" w:space="0" w:color="000000"/>
              <w:right w:val="single" w:sz="6" w:space="0" w:color="000000"/>
            </w:tcBorders>
            <w:shd w:val="clear" w:color="auto" w:fill="D9D9D9"/>
          </w:tcPr>
          <w:p w14:paraId="18D932E8" w14:textId="77777777" w:rsidR="005B1006" w:rsidRDefault="005B1006" w:rsidP="00A250AE">
            <w:pPr>
              <w:spacing w:after="0" w:line="259" w:lineRule="auto"/>
              <w:ind w:left="0" w:firstLine="0"/>
            </w:pPr>
            <w:r>
              <w:rPr>
                <w:b/>
              </w:rPr>
              <w:t xml:space="preserve">Orgānu sistēmu klase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Pr>
          <w:p w14:paraId="5F82BCBB" w14:textId="77777777" w:rsidR="005B1006" w:rsidRDefault="005B1006" w:rsidP="00A250AE">
            <w:pPr>
              <w:spacing w:after="0" w:line="259" w:lineRule="auto"/>
              <w:ind w:left="2" w:firstLine="0"/>
            </w:pPr>
            <w:r>
              <w:rPr>
                <w:b/>
              </w:rPr>
              <w:t xml:space="preserve">Biežums </w:t>
            </w:r>
          </w:p>
        </w:tc>
      </w:tr>
      <w:tr w:rsidR="005B1006" w14:paraId="447E48EB" w14:textId="77777777" w:rsidTr="00A250AE">
        <w:trPr>
          <w:trHeight w:val="350"/>
        </w:trPr>
        <w:tc>
          <w:tcPr>
            <w:tcW w:w="6944" w:type="dxa"/>
            <w:tcBorders>
              <w:top w:val="single" w:sz="6" w:space="0" w:color="000000"/>
              <w:left w:val="single" w:sz="6" w:space="0" w:color="000000"/>
              <w:bottom w:val="single" w:sz="6" w:space="0" w:color="000000"/>
              <w:right w:val="single" w:sz="6" w:space="0" w:color="000000"/>
            </w:tcBorders>
          </w:tcPr>
          <w:p w14:paraId="5194B0D5" w14:textId="77777777" w:rsidR="005B1006" w:rsidRDefault="005B1006" w:rsidP="00A250AE">
            <w:pPr>
              <w:spacing w:after="0" w:line="259" w:lineRule="auto"/>
              <w:ind w:left="0" w:firstLine="0"/>
            </w:pPr>
            <w:r>
              <w:rPr>
                <w:b/>
              </w:rPr>
              <w:t xml:space="preserve">Asinsvadu sistēmas traucējumi </w:t>
            </w:r>
          </w:p>
        </w:tc>
        <w:tc>
          <w:tcPr>
            <w:tcW w:w="1984" w:type="dxa"/>
            <w:tcBorders>
              <w:top w:val="single" w:sz="6" w:space="0" w:color="000000"/>
              <w:left w:val="single" w:sz="6" w:space="0" w:color="000000"/>
              <w:bottom w:val="single" w:sz="6" w:space="0" w:color="000000"/>
              <w:right w:val="single" w:sz="6" w:space="0" w:color="000000"/>
            </w:tcBorders>
          </w:tcPr>
          <w:p w14:paraId="5050BD62" w14:textId="77777777" w:rsidR="005B1006" w:rsidRDefault="005B1006" w:rsidP="00A250AE">
            <w:pPr>
              <w:spacing w:after="0" w:line="259" w:lineRule="auto"/>
              <w:ind w:left="2" w:firstLine="0"/>
            </w:pPr>
            <w:r>
              <w:rPr>
                <w:b/>
              </w:rPr>
              <w:t xml:space="preserve"> </w:t>
            </w:r>
          </w:p>
        </w:tc>
      </w:tr>
      <w:tr w:rsidR="005B1006" w14:paraId="009D7CA4"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3BC043ED" w14:textId="77777777" w:rsidR="005B1006" w:rsidRDefault="005B1006" w:rsidP="00A250AE">
            <w:pPr>
              <w:spacing w:after="0" w:line="259" w:lineRule="auto"/>
              <w:ind w:left="0" w:firstLine="0"/>
            </w:pPr>
            <w:r>
              <w:t>Cita veida asiņošana</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59FAABCB" w14:textId="77777777" w:rsidR="005B1006" w:rsidRDefault="005B1006" w:rsidP="00A250AE">
            <w:pPr>
              <w:spacing w:after="0" w:line="259" w:lineRule="auto"/>
              <w:ind w:left="2" w:firstLine="0"/>
            </w:pPr>
            <w:r>
              <w:t xml:space="preserve">Retāk </w:t>
            </w:r>
          </w:p>
        </w:tc>
      </w:tr>
      <w:tr w:rsidR="005B1006" w14:paraId="6227FF1E"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34C356A7" w14:textId="77777777" w:rsidR="005B1006" w:rsidRDefault="005B1006" w:rsidP="00A250AE">
            <w:pPr>
              <w:spacing w:after="0" w:line="259" w:lineRule="auto"/>
              <w:ind w:left="0" w:firstLine="0"/>
            </w:pPr>
            <w:r>
              <w:rPr>
                <w:b/>
              </w:rPr>
              <w:t xml:space="preserve">Elpošanas sistēmas traucējumi, krūšu kurvja un videnes slimības </w:t>
            </w:r>
          </w:p>
        </w:tc>
        <w:tc>
          <w:tcPr>
            <w:tcW w:w="1984" w:type="dxa"/>
            <w:tcBorders>
              <w:top w:val="single" w:sz="6" w:space="0" w:color="000000"/>
              <w:left w:val="single" w:sz="6" w:space="0" w:color="000000"/>
              <w:bottom w:val="single" w:sz="6" w:space="0" w:color="000000"/>
              <w:right w:val="single" w:sz="6" w:space="0" w:color="000000"/>
            </w:tcBorders>
          </w:tcPr>
          <w:p w14:paraId="44E00B8D" w14:textId="77777777" w:rsidR="005B1006" w:rsidRDefault="005B1006" w:rsidP="00A250AE">
            <w:pPr>
              <w:spacing w:after="0" w:line="259" w:lineRule="auto"/>
              <w:ind w:left="2" w:firstLine="0"/>
            </w:pPr>
            <w:r>
              <w:rPr>
                <w:b/>
              </w:rPr>
              <w:t xml:space="preserve"> </w:t>
            </w:r>
          </w:p>
        </w:tc>
      </w:tr>
      <w:tr w:rsidR="005B1006" w14:paraId="2D43F88C"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337310CB" w14:textId="77777777" w:rsidR="005B1006" w:rsidRDefault="005B1006" w:rsidP="00A250AE">
            <w:pPr>
              <w:spacing w:after="0" w:line="259" w:lineRule="auto"/>
              <w:ind w:left="0" w:firstLine="0"/>
            </w:pPr>
            <w:r>
              <w:t xml:space="preserve">Deguna asiņošana </w:t>
            </w:r>
          </w:p>
        </w:tc>
        <w:tc>
          <w:tcPr>
            <w:tcW w:w="1984" w:type="dxa"/>
            <w:tcBorders>
              <w:top w:val="single" w:sz="6" w:space="0" w:color="000000"/>
              <w:left w:val="single" w:sz="6" w:space="0" w:color="000000"/>
              <w:bottom w:val="single" w:sz="6" w:space="0" w:color="000000"/>
              <w:right w:val="single" w:sz="6" w:space="0" w:color="000000"/>
            </w:tcBorders>
          </w:tcPr>
          <w:p w14:paraId="60580EFD" w14:textId="77777777" w:rsidR="005B1006" w:rsidRDefault="005B1006" w:rsidP="00A250AE">
            <w:pPr>
              <w:spacing w:after="0" w:line="259" w:lineRule="auto"/>
              <w:ind w:left="2" w:firstLine="0"/>
            </w:pPr>
            <w:r>
              <w:t xml:space="preserve">Bieži </w:t>
            </w:r>
          </w:p>
        </w:tc>
      </w:tr>
      <w:tr w:rsidR="005B1006" w14:paraId="7F633FAF"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23A2D745" w14:textId="77777777" w:rsidR="005B1006" w:rsidRDefault="005B1006" w:rsidP="00A250AE">
            <w:pPr>
              <w:spacing w:after="0" w:line="259" w:lineRule="auto"/>
              <w:ind w:left="0" w:firstLine="0"/>
            </w:pPr>
            <w:r>
              <w:t xml:space="preserve">Asinsspļaušana </w:t>
            </w:r>
          </w:p>
        </w:tc>
        <w:tc>
          <w:tcPr>
            <w:tcW w:w="1984" w:type="dxa"/>
            <w:tcBorders>
              <w:top w:val="single" w:sz="6" w:space="0" w:color="000000"/>
              <w:left w:val="single" w:sz="6" w:space="0" w:color="000000"/>
              <w:bottom w:val="single" w:sz="6" w:space="0" w:color="000000"/>
              <w:right w:val="single" w:sz="6" w:space="0" w:color="000000"/>
            </w:tcBorders>
          </w:tcPr>
          <w:p w14:paraId="392945B0" w14:textId="77777777" w:rsidR="005B1006" w:rsidRDefault="005B1006" w:rsidP="00A250AE">
            <w:pPr>
              <w:spacing w:after="0" w:line="259" w:lineRule="auto"/>
              <w:ind w:left="2" w:firstLine="0"/>
            </w:pPr>
            <w:r>
              <w:t xml:space="preserve">Retāk </w:t>
            </w:r>
          </w:p>
        </w:tc>
      </w:tr>
      <w:tr w:rsidR="005B1006" w14:paraId="73758B37"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D8F191C" w14:textId="77777777" w:rsidR="005B1006" w:rsidRDefault="005B1006" w:rsidP="00A250AE">
            <w:pPr>
              <w:spacing w:after="0" w:line="259" w:lineRule="auto"/>
              <w:ind w:left="0" w:firstLine="0"/>
            </w:pPr>
            <w:r>
              <w:rPr>
                <w:b/>
              </w:rPr>
              <w:t xml:space="preserve">Kuņģa-zarnu trakta traucējumi </w:t>
            </w:r>
          </w:p>
        </w:tc>
        <w:tc>
          <w:tcPr>
            <w:tcW w:w="1984" w:type="dxa"/>
            <w:tcBorders>
              <w:top w:val="single" w:sz="6" w:space="0" w:color="000000"/>
              <w:left w:val="single" w:sz="6" w:space="0" w:color="000000"/>
              <w:bottom w:val="single" w:sz="6" w:space="0" w:color="000000"/>
              <w:right w:val="single" w:sz="6" w:space="0" w:color="000000"/>
            </w:tcBorders>
          </w:tcPr>
          <w:p w14:paraId="15C2F674" w14:textId="77777777" w:rsidR="005B1006" w:rsidRDefault="005B1006" w:rsidP="00A250AE">
            <w:pPr>
              <w:spacing w:after="0" w:line="259" w:lineRule="auto"/>
              <w:ind w:left="2" w:firstLine="0"/>
            </w:pPr>
            <w:r>
              <w:rPr>
                <w:b/>
              </w:rPr>
              <w:t xml:space="preserve"> </w:t>
            </w:r>
          </w:p>
        </w:tc>
      </w:tr>
      <w:tr w:rsidR="005B1006" w14:paraId="1BEF7D81"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7F6ABD54" w14:textId="77777777" w:rsidR="005B1006" w:rsidRDefault="005B1006" w:rsidP="00A250AE">
            <w:pPr>
              <w:spacing w:after="0" w:line="259" w:lineRule="auto"/>
              <w:ind w:left="0" w:firstLine="0"/>
            </w:pPr>
            <w:r>
              <w:t>Sāpes vēderā</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3CEE4590" w14:textId="77777777" w:rsidR="005B1006" w:rsidRDefault="005B1006" w:rsidP="00A250AE">
            <w:pPr>
              <w:spacing w:after="0" w:line="259" w:lineRule="auto"/>
              <w:ind w:left="2" w:firstLine="0"/>
            </w:pPr>
            <w:r>
              <w:t>Bieži</w:t>
            </w:r>
            <w:r>
              <w:rPr>
                <w:b/>
              </w:rPr>
              <w:t xml:space="preserve"> </w:t>
            </w:r>
          </w:p>
        </w:tc>
      </w:tr>
      <w:tr w:rsidR="005B1006" w14:paraId="55C74AE6"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4DAE8FAF" w14:textId="77777777" w:rsidR="005B1006" w:rsidRDefault="005B1006" w:rsidP="00A250AE">
            <w:pPr>
              <w:spacing w:after="0" w:line="259" w:lineRule="auto"/>
              <w:ind w:left="0" w:firstLine="0"/>
            </w:pPr>
            <w:r>
              <w:t xml:space="preserve">Asiņošana kuņģa-zarnu trakta apakšējā daļā </w:t>
            </w:r>
          </w:p>
        </w:tc>
        <w:tc>
          <w:tcPr>
            <w:tcW w:w="1984" w:type="dxa"/>
            <w:tcBorders>
              <w:top w:val="single" w:sz="6" w:space="0" w:color="000000"/>
              <w:left w:val="single" w:sz="6" w:space="0" w:color="000000"/>
              <w:bottom w:val="single" w:sz="6" w:space="0" w:color="000000"/>
              <w:right w:val="single" w:sz="6" w:space="0" w:color="000000"/>
            </w:tcBorders>
          </w:tcPr>
          <w:p w14:paraId="3CCB13E7" w14:textId="77777777" w:rsidR="005B1006" w:rsidRDefault="005B1006" w:rsidP="00A250AE">
            <w:pPr>
              <w:spacing w:after="0" w:line="259" w:lineRule="auto"/>
              <w:ind w:left="3" w:firstLine="0"/>
            </w:pPr>
            <w:r>
              <w:t xml:space="preserve">Bieži </w:t>
            </w:r>
          </w:p>
        </w:tc>
      </w:tr>
      <w:tr w:rsidR="005B1006" w14:paraId="0D009FA9"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59914C6B" w14:textId="77777777" w:rsidR="005B1006" w:rsidRDefault="005B1006" w:rsidP="00A250AE">
            <w:pPr>
              <w:spacing w:after="0" w:line="259" w:lineRule="auto"/>
              <w:ind w:left="0" w:firstLine="0"/>
            </w:pPr>
            <w:r>
              <w:t xml:space="preserve">Asiņošana kuņģa-zarnu trakta augšējā daļā </w:t>
            </w:r>
          </w:p>
        </w:tc>
        <w:tc>
          <w:tcPr>
            <w:tcW w:w="1984" w:type="dxa"/>
            <w:tcBorders>
              <w:top w:val="single" w:sz="6" w:space="0" w:color="000000"/>
              <w:left w:val="single" w:sz="6" w:space="0" w:color="000000"/>
              <w:bottom w:val="single" w:sz="6" w:space="0" w:color="000000"/>
              <w:right w:val="single" w:sz="6" w:space="0" w:color="000000"/>
            </w:tcBorders>
          </w:tcPr>
          <w:p w14:paraId="362D902B" w14:textId="77777777" w:rsidR="005B1006" w:rsidRDefault="005B1006" w:rsidP="00A250AE">
            <w:pPr>
              <w:spacing w:after="0" w:line="259" w:lineRule="auto"/>
              <w:ind w:left="2" w:firstLine="0"/>
            </w:pPr>
            <w:r>
              <w:t xml:space="preserve">Bieži </w:t>
            </w:r>
          </w:p>
        </w:tc>
      </w:tr>
      <w:tr w:rsidR="005B1006" w14:paraId="73980055"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BF9C84B" w14:textId="77777777" w:rsidR="005B1006" w:rsidRDefault="005B1006" w:rsidP="00A250AE">
            <w:pPr>
              <w:spacing w:after="0" w:line="259" w:lineRule="auto"/>
              <w:ind w:left="0" w:firstLine="0"/>
            </w:pPr>
            <w:r>
              <w:t xml:space="preserve">Mutes/rīkles asiņošana </w:t>
            </w:r>
          </w:p>
        </w:tc>
        <w:tc>
          <w:tcPr>
            <w:tcW w:w="1984" w:type="dxa"/>
            <w:tcBorders>
              <w:top w:val="single" w:sz="6" w:space="0" w:color="000000"/>
              <w:left w:val="single" w:sz="6" w:space="0" w:color="000000"/>
              <w:bottom w:val="single" w:sz="6" w:space="0" w:color="000000"/>
              <w:right w:val="single" w:sz="6" w:space="0" w:color="000000"/>
            </w:tcBorders>
          </w:tcPr>
          <w:p w14:paraId="6885E466" w14:textId="77777777" w:rsidR="005B1006" w:rsidRDefault="005B1006" w:rsidP="00A250AE">
            <w:pPr>
              <w:spacing w:after="0" w:line="259" w:lineRule="auto"/>
              <w:ind w:left="2" w:firstLine="0"/>
            </w:pPr>
            <w:r>
              <w:t xml:space="preserve">Bieži </w:t>
            </w:r>
          </w:p>
        </w:tc>
      </w:tr>
      <w:tr w:rsidR="005B1006" w14:paraId="2B566F9F"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2951B092" w14:textId="77777777" w:rsidR="005B1006" w:rsidRDefault="005B1006" w:rsidP="00A250AE">
            <w:pPr>
              <w:spacing w:after="0" w:line="259" w:lineRule="auto"/>
              <w:ind w:left="0" w:firstLine="0"/>
            </w:pPr>
            <w:r>
              <w:t xml:space="preserve">Slikta dūša </w:t>
            </w:r>
          </w:p>
        </w:tc>
        <w:tc>
          <w:tcPr>
            <w:tcW w:w="1984" w:type="dxa"/>
            <w:tcBorders>
              <w:top w:val="single" w:sz="6" w:space="0" w:color="000000"/>
              <w:left w:val="single" w:sz="6" w:space="0" w:color="000000"/>
              <w:bottom w:val="single" w:sz="6" w:space="0" w:color="000000"/>
              <w:right w:val="single" w:sz="6" w:space="0" w:color="000000"/>
            </w:tcBorders>
          </w:tcPr>
          <w:p w14:paraId="3DEF95E6" w14:textId="77777777" w:rsidR="005B1006" w:rsidRDefault="005B1006" w:rsidP="00A250AE">
            <w:pPr>
              <w:spacing w:after="0" w:line="259" w:lineRule="auto"/>
              <w:ind w:left="2" w:firstLine="0"/>
            </w:pPr>
            <w:r>
              <w:t xml:space="preserve">Bieži </w:t>
            </w:r>
          </w:p>
        </w:tc>
      </w:tr>
      <w:tr w:rsidR="005B1006" w14:paraId="4373C812"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2E050326" w14:textId="77777777" w:rsidR="005B1006" w:rsidRDefault="005B1006" w:rsidP="00A250AE">
            <w:pPr>
              <w:spacing w:after="0" w:line="259" w:lineRule="auto"/>
              <w:ind w:left="0" w:firstLine="0"/>
            </w:pPr>
            <w:r>
              <w:t xml:space="preserve">Retroperitoneāla asiņošana </w:t>
            </w:r>
          </w:p>
        </w:tc>
        <w:tc>
          <w:tcPr>
            <w:tcW w:w="1984" w:type="dxa"/>
            <w:tcBorders>
              <w:top w:val="single" w:sz="6" w:space="0" w:color="000000"/>
              <w:left w:val="single" w:sz="6" w:space="0" w:color="000000"/>
              <w:bottom w:val="single" w:sz="6" w:space="0" w:color="000000"/>
              <w:right w:val="single" w:sz="6" w:space="0" w:color="000000"/>
            </w:tcBorders>
          </w:tcPr>
          <w:p w14:paraId="1156A139" w14:textId="77777777" w:rsidR="005B1006" w:rsidRDefault="005B1006" w:rsidP="00A250AE">
            <w:pPr>
              <w:spacing w:after="0" w:line="259" w:lineRule="auto"/>
              <w:ind w:left="2" w:firstLine="0"/>
            </w:pPr>
            <w:r>
              <w:t xml:space="preserve">Reti </w:t>
            </w:r>
          </w:p>
        </w:tc>
      </w:tr>
      <w:tr w:rsidR="005B1006" w14:paraId="44AF7E65"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4BCF3580" w14:textId="77777777" w:rsidR="005B1006" w:rsidRDefault="005B1006" w:rsidP="00A250AE">
            <w:pPr>
              <w:spacing w:after="0" w:line="259" w:lineRule="auto"/>
              <w:ind w:left="0" w:firstLine="0"/>
            </w:pPr>
            <w:r>
              <w:rPr>
                <w:b/>
              </w:rPr>
              <w:t xml:space="preserve">Aknu un/vai žults izvades sistēmas traucējumi </w:t>
            </w:r>
          </w:p>
        </w:tc>
        <w:tc>
          <w:tcPr>
            <w:tcW w:w="1984" w:type="dxa"/>
            <w:tcBorders>
              <w:top w:val="single" w:sz="6" w:space="0" w:color="000000"/>
              <w:left w:val="single" w:sz="6" w:space="0" w:color="000000"/>
              <w:bottom w:val="single" w:sz="6" w:space="0" w:color="000000"/>
              <w:right w:val="single" w:sz="6" w:space="0" w:color="000000"/>
            </w:tcBorders>
          </w:tcPr>
          <w:p w14:paraId="67445CF8" w14:textId="77777777" w:rsidR="005B1006" w:rsidRDefault="005B1006" w:rsidP="00A250AE">
            <w:pPr>
              <w:spacing w:after="0" w:line="259" w:lineRule="auto"/>
              <w:ind w:left="2" w:firstLine="0"/>
            </w:pPr>
            <w:r>
              <w:t xml:space="preserve"> </w:t>
            </w:r>
          </w:p>
        </w:tc>
      </w:tr>
      <w:tr w:rsidR="005B1006" w14:paraId="2F929A67"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B90BC8A" w14:textId="77777777" w:rsidR="005B1006" w:rsidRDefault="005B1006" w:rsidP="00A250AE">
            <w:pPr>
              <w:spacing w:after="0" w:line="259" w:lineRule="auto"/>
              <w:ind w:left="0" w:firstLine="0"/>
            </w:pPr>
            <w:r>
              <w:t xml:space="preserve">Paaugstināts bilirubīna līmenis asinīs </w:t>
            </w:r>
          </w:p>
        </w:tc>
        <w:tc>
          <w:tcPr>
            <w:tcW w:w="1984" w:type="dxa"/>
            <w:tcBorders>
              <w:top w:val="single" w:sz="6" w:space="0" w:color="000000"/>
              <w:left w:val="single" w:sz="6" w:space="0" w:color="000000"/>
              <w:bottom w:val="single" w:sz="6" w:space="0" w:color="000000"/>
              <w:right w:val="single" w:sz="6" w:space="0" w:color="000000"/>
            </w:tcBorders>
          </w:tcPr>
          <w:p w14:paraId="1A9DB76D" w14:textId="77777777" w:rsidR="005B1006" w:rsidRDefault="005B1006" w:rsidP="00A250AE">
            <w:pPr>
              <w:spacing w:after="0" w:line="259" w:lineRule="auto"/>
              <w:ind w:left="2" w:firstLine="0"/>
            </w:pPr>
            <w:r>
              <w:t xml:space="preserve">Bieži </w:t>
            </w:r>
          </w:p>
        </w:tc>
      </w:tr>
      <w:tr w:rsidR="005B1006" w14:paraId="51B70465"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263A3809" w14:textId="77777777" w:rsidR="005B1006" w:rsidRDefault="005B1006" w:rsidP="00A250AE">
            <w:pPr>
              <w:spacing w:after="0" w:line="259" w:lineRule="auto"/>
              <w:ind w:left="0" w:firstLine="0"/>
            </w:pPr>
            <w:r>
              <w:t xml:space="preserve">Paaugstināts gammaglutamiltransferāzes līmenis </w:t>
            </w:r>
          </w:p>
        </w:tc>
        <w:tc>
          <w:tcPr>
            <w:tcW w:w="1984" w:type="dxa"/>
            <w:tcBorders>
              <w:top w:val="single" w:sz="6" w:space="0" w:color="000000"/>
              <w:left w:val="single" w:sz="6" w:space="0" w:color="000000"/>
              <w:bottom w:val="single" w:sz="6" w:space="0" w:color="000000"/>
              <w:right w:val="single" w:sz="6" w:space="0" w:color="000000"/>
            </w:tcBorders>
          </w:tcPr>
          <w:p w14:paraId="22848A36" w14:textId="77777777" w:rsidR="005B1006" w:rsidRDefault="005B1006" w:rsidP="00A250AE">
            <w:pPr>
              <w:spacing w:after="0" w:line="259" w:lineRule="auto"/>
              <w:ind w:left="2" w:firstLine="0"/>
            </w:pPr>
            <w:r>
              <w:t xml:space="preserve">Bieži </w:t>
            </w:r>
          </w:p>
        </w:tc>
      </w:tr>
      <w:tr w:rsidR="005B1006" w14:paraId="64780C21"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75307B2B" w14:textId="77777777" w:rsidR="005B1006" w:rsidRDefault="005B1006" w:rsidP="00A250AE">
            <w:pPr>
              <w:spacing w:after="0" w:line="259" w:lineRule="auto"/>
              <w:ind w:left="0" w:firstLine="0"/>
            </w:pPr>
            <w:r>
              <w:t xml:space="preserve">Paaugstināts sārmainās fosfatāzes līmenis asinīs </w:t>
            </w:r>
          </w:p>
        </w:tc>
        <w:tc>
          <w:tcPr>
            <w:tcW w:w="1984" w:type="dxa"/>
            <w:tcBorders>
              <w:top w:val="single" w:sz="6" w:space="0" w:color="000000"/>
              <w:left w:val="single" w:sz="6" w:space="0" w:color="000000"/>
              <w:bottom w:val="single" w:sz="6" w:space="0" w:color="000000"/>
              <w:right w:val="single" w:sz="6" w:space="0" w:color="000000"/>
            </w:tcBorders>
          </w:tcPr>
          <w:p w14:paraId="5FF210B6" w14:textId="77777777" w:rsidR="005B1006" w:rsidRDefault="005B1006" w:rsidP="00A250AE">
            <w:pPr>
              <w:spacing w:after="0" w:line="259" w:lineRule="auto"/>
              <w:ind w:left="2" w:firstLine="0"/>
            </w:pPr>
            <w:r>
              <w:t xml:space="preserve">Retāk </w:t>
            </w:r>
          </w:p>
        </w:tc>
      </w:tr>
      <w:tr w:rsidR="005B1006" w14:paraId="1B011FB4"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C762B0C" w14:textId="77777777" w:rsidR="005B1006" w:rsidRDefault="005B1006" w:rsidP="00A250AE">
            <w:pPr>
              <w:spacing w:after="0" w:line="259" w:lineRule="auto"/>
              <w:ind w:left="0" w:firstLine="0"/>
            </w:pPr>
            <w:r>
              <w:t xml:space="preserve">Paaugstināts transamināžu līmenis </w:t>
            </w:r>
          </w:p>
        </w:tc>
        <w:tc>
          <w:tcPr>
            <w:tcW w:w="1984" w:type="dxa"/>
            <w:tcBorders>
              <w:top w:val="single" w:sz="6" w:space="0" w:color="000000"/>
              <w:left w:val="single" w:sz="6" w:space="0" w:color="000000"/>
              <w:bottom w:val="single" w:sz="6" w:space="0" w:color="000000"/>
              <w:right w:val="single" w:sz="6" w:space="0" w:color="000000"/>
            </w:tcBorders>
          </w:tcPr>
          <w:p w14:paraId="0C5E5C21" w14:textId="77777777" w:rsidR="005B1006" w:rsidRDefault="005B1006" w:rsidP="00A250AE">
            <w:pPr>
              <w:spacing w:after="0" w:line="259" w:lineRule="auto"/>
              <w:ind w:left="2" w:firstLine="0"/>
            </w:pPr>
            <w:r>
              <w:t xml:space="preserve">Retāk </w:t>
            </w:r>
          </w:p>
        </w:tc>
      </w:tr>
      <w:tr w:rsidR="005B1006" w14:paraId="1E901174"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529FB55" w14:textId="77777777" w:rsidR="005B1006" w:rsidRDefault="005B1006" w:rsidP="00A250AE">
            <w:pPr>
              <w:spacing w:after="0" w:line="259" w:lineRule="auto"/>
              <w:ind w:left="0" w:firstLine="0"/>
            </w:pPr>
            <w:r>
              <w:rPr>
                <w:b/>
              </w:rPr>
              <w:t xml:space="preserve">Ādas un zemādas audu bojājumi </w:t>
            </w:r>
          </w:p>
        </w:tc>
        <w:tc>
          <w:tcPr>
            <w:tcW w:w="1984" w:type="dxa"/>
            <w:tcBorders>
              <w:top w:val="single" w:sz="6" w:space="0" w:color="000000"/>
              <w:left w:val="single" w:sz="6" w:space="0" w:color="000000"/>
              <w:bottom w:val="single" w:sz="6" w:space="0" w:color="000000"/>
              <w:right w:val="single" w:sz="6" w:space="0" w:color="000000"/>
            </w:tcBorders>
          </w:tcPr>
          <w:p w14:paraId="069BB58A" w14:textId="77777777" w:rsidR="005B1006" w:rsidRDefault="005B1006" w:rsidP="00A250AE">
            <w:pPr>
              <w:spacing w:after="0" w:line="259" w:lineRule="auto"/>
              <w:ind w:left="2" w:firstLine="0"/>
            </w:pPr>
            <w:r>
              <w:rPr>
                <w:b/>
              </w:rPr>
              <w:t xml:space="preserve"> </w:t>
            </w:r>
          </w:p>
        </w:tc>
      </w:tr>
      <w:tr w:rsidR="005B1006" w14:paraId="6D580A36"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7FA49F6" w14:textId="77777777" w:rsidR="005B1006" w:rsidRDefault="005B1006" w:rsidP="00A250AE">
            <w:pPr>
              <w:spacing w:after="0" w:line="259" w:lineRule="auto"/>
              <w:ind w:left="0" w:firstLine="0"/>
            </w:pPr>
            <w:r>
              <w:t>Ādas mīksto audu asiņošana</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77F42C65" w14:textId="77777777" w:rsidR="005B1006" w:rsidRDefault="005B1006" w:rsidP="00A250AE">
            <w:pPr>
              <w:spacing w:after="0" w:line="259" w:lineRule="auto"/>
              <w:ind w:left="2" w:firstLine="0"/>
            </w:pPr>
            <w:r>
              <w:t xml:space="preserve">Bieži </w:t>
            </w:r>
          </w:p>
        </w:tc>
      </w:tr>
      <w:tr w:rsidR="005B1006" w14:paraId="63CA8FDE"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58CACA1" w14:textId="77777777" w:rsidR="005B1006" w:rsidRDefault="005B1006" w:rsidP="00A250AE">
            <w:pPr>
              <w:spacing w:after="0" w:line="259" w:lineRule="auto"/>
              <w:ind w:left="0" w:firstLine="0"/>
            </w:pPr>
            <w:r>
              <w:t xml:space="preserve">Izsitumi </w:t>
            </w:r>
          </w:p>
        </w:tc>
        <w:tc>
          <w:tcPr>
            <w:tcW w:w="1984" w:type="dxa"/>
            <w:tcBorders>
              <w:top w:val="single" w:sz="6" w:space="0" w:color="000000"/>
              <w:left w:val="single" w:sz="6" w:space="0" w:color="000000"/>
              <w:bottom w:val="single" w:sz="6" w:space="0" w:color="000000"/>
              <w:right w:val="single" w:sz="6" w:space="0" w:color="000000"/>
            </w:tcBorders>
          </w:tcPr>
          <w:p w14:paraId="60C795CC" w14:textId="77777777" w:rsidR="005B1006" w:rsidRDefault="005B1006" w:rsidP="00A250AE">
            <w:pPr>
              <w:spacing w:after="0" w:line="259" w:lineRule="auto"/>
              <w:ind w:left="2" w:firstLine="0"/>
            </w:pPr>
            <w:r>
              <w:t xml:space="preserve">Bieži </w:t>
            </w:r>
          </w:p>
        </w:tc>
      </w:tr>
      <w:tr w:rsidR="005B1006" w14:paraId="18290C42"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CFE32E7" w14:textId="77777777" w:rsidR="005B1006" w:rsidRDefault="005B1006" w:rsidP="00A250AE">
            <w:pPr>
              <w:spacing w:after="0" w:line="259" w:lineRule="auto"/>
              <w:ind w:left="0" w:firstLine="0"/>
            </w:pPr>
            <w:r>
              <w:t xml:space="preserve">Nieze </w:t>
            </w:r>
          </w:p>
        </w:tc>
        <w:tc>
          <w:tcPr>
            <w:tcW w:w="1984" w:type="dxa"/>
            <w:tcBorders>
              <w:top w:val="single" w:sz="6" w:space="0" w:color="000000"/>
              <w:left w:val="single" w:sz="6" w:space="0" w:color="000000"/>
              <w:bottom w:val="single" w:sz="6" w:space="0" w:color="000000"/>
              <w:right w:val="single" w:sz="6" w:space="0" w:color="000000"/>
            </w:tcBorders>
          </w:tcPr>
          <w:p w14:paraId="6EF3C066" w14:textId="77777777" w:rsidR="005B1006" w:rsidRDefault="005B1006" w:rsidP="00A250AE">
            <w:pPr>
              <w:spacing w:after="0" w:line="259" w:lineRule="auto"/>
              <w:ind w:left="2" w:firstLine="0"/>
            </w:pPr>
            <w:r>
              <w:t xml:space="preserve">Bieži </w:t>
            </w:r>
          </w:p>
        </w:tc>
      </w:tr>
      <w:tr w:rsidR="005B1006" w14:paraId="09CEEC0B"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79C7F58C" w14:textId="77777777" w:rsidR="005B1006" w:rsidRDefault="005B1006" w:rsidP="00A250AE">
            <w:pPr>
              <w:spacing w:after="0" w:line="259" w:lineRule="auto"/>
              <w:ind w:left="0" w:firstLine="0"/>
            </w:pPr>
            <w:r>
              <w:t xml:space="preserve">Nātrene </w:t>
            </w:r>
          </w:p>
        </w:tc>
        <w:tc>
          <w:tcPr>
            <w:tcW w:w="1984" w:type="dxa"/>
            <w:tcBorders>
              <w:top w:val="single" w:sz="6" w:space="0" w:color="000000"/>
              <w:left w:val="single" w:sz="6" w:space="0" w:color="000000"/>
              <w:bottom w:val="single" w:sz="6" w:space="0" w:color="000000"/>
              <w:right w:val="single" w:sz="6" w:space="0" w:color="000000"/>
            </w:tcBorders>
          </w:tcPr>
          <w:p w14:paraId="0723F732" w14:textId="77777777" w:rsidR="005B1006" w:rsidRDefault="005B1006" w:rsidP="00A250AE">
            <w:pPr>
              <w:spacing w:after="0" w:line="259" w:lineRule="auto"/>
              <w:ind w:left="2" w:firstLine="0"/>
            </w:pPr>
            <w:r>
              <w:t xml:space="preserve">Retāk </w:t>
            </w:r>
          </w:p>
        </w:tc>
      </w:tr>
      <w:tr w:rsidR="005B1006" w14:paraId="50E1792E"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2422248" w14:textId="77777777" w:rsidR="005B1006" w:rsidRDefault="005B1006" w:rsidP="00A250AE">
            <w:pPr>
              <w:spacing w:after="0" w:line="259" w:lineRule="auto"/>
              <w:ind w:left="0" w:firstLine="0"/>
            </w:pPr>
            <w:r>
              <w:rPr>
                <w:b/>
              </w:rPr>
              <w:t xml:space="preserve">Skeleta-muskuļu un saistaudu sistēmas bojājumi </w:t>
            </w:r>
          </w:p>
        </w:tc>
        <w:tc>
          <w:tcPr>
            <w:tcW w:w="1984" w:type="dxa"/>
            <w:tcBorders>
              <w:top w:val="single" w:sz="6" w:space="0" w:color="000000"/>
              <w:left w:val="single" w:sz="6" w:space="0" w:color="000000"/>
              <w:bottom w:val="single" w:sz="6" w:space="0" w:color="000000"/>
              <w:right w:val="single" w:sz="6" w:space="0" w:color="000000"/>
            </w:tcBorders>
          </w:tcPr>
          <w:p w14:paraId="1E2A1E84" w14:textId="77777777" w:rsidR="005B1006" w:rsidRDefault="005B1006" w:rsidP="00A250AE">
            <w:pPr>
              <w:spacing w:after="0" w:line="259" w:lineRule="auto"/>
              <w:ind w:left="2" w:firstLine="0"/>
            </w:pPr>
            <w:r>
              <w:rPr>
                <w:b/>
              </w:rPr>
              <w:t xml:space="preserve"> </w:t>
            </w:r>
          </w:p>
        </w:tc>
      </w:tr>
      <w:tr w:rsidR="005B1006" w14:paraId="09DB632E" w14:textId="77777777" w:rsidTr="00A250AE">
        <w:trPr>
          <w:trHeight w:val="600"/>
        </w:trPr>
        <w:tc>
          <w:tcPr>
            <w:tcW w:w="6944" w:type="dxa"/>
            <w:tcBorders>
              <w:top w:val="single" w:sz="6" w:space="0" w:color="000000"/>
              <w:left w:val="single" w:sz="6" w:space="0" w:color="000000"/>
              <w:bottom w:val="single" w:sz="6" w:space="0" w:color="000000"/>
              <w:right w:val="single" w:sz="6" w:space="0" w:color="000000"/>
            </w:tcBorders>
          </w:tcPr>
          <w:p w14:paraId="74F2C1A2" w14:textId="77777777" w:rsidR="005B1006" w:rsidRDefault="005B1006" w:rsidP="00A250AE">
            <w:pPr>
              <w:spacing w:after="0" w:line="259" w:lineRule="auto"/>
              <w:ind w:left="0" w:firstLine="0"/>
            </w:pPr>
            <w:r>
              <w:t>Intramuskulāra asiņošana (bez muskuļu fasciālās telpas nospieduma (</w:t>
            </w:r>
            <w:r>
              <w:rPr>
                <w:i/>
              </w:rPr>
              <w:t>compartment</w:t>
            </w:r>
            <w:r>
              <w:t xml:space="preserve"> </w:t>
            </w:r>
            <w:r>
              <w:rPr>
                <w:i/>
              </w:rPr>
              <w:t>syndrome</w:t>
            </w:r>
            <w: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1FFB6195" w14:textId="77777777" w:rsidR="005B1006" w:rsidRDefault="005B1006" w:rsidP="00A250AE">
            <w:pPr>
              <w:spacing w:after="0" w:line="259" w:lineRule="auto"/>
              <w:ind w:left="2" w:firstLine="0"/>
            </w:pPr>
            <w:r>
              <w:t xml:space="preserve">Reti </w:t>
            </w:r>
          </w:p>
        </w:tc>
      </w:tr>
      <w:tr w:rsidR="005B1006" w14:paraId="666F7D5B"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40788B37" w14:textId="77777777" w:rsidR="005B1006" w:rsidRDefault="005B1006" w:rsidP="00A250AE">
            <w:pPr>
              <w:spacing w:after="0" w:line="259" w:lineRule="auto"/>
              <w:ind w:left="0" w:firstLine="0"/>
            </w:pPr>
            <w:r>
              <w:t xml:space="preserve">Asiņošana locītavās </w:t>
            </w:r>
          </w:p>
        </w:tc>
        <w:tc>
          <w:tcPr>
            <w:tcW w:w="1984" w:type="dxa"/>
            <w:tcBorders>
              <w:top w:val="single" w:sz="6" w:space="0" w:color="000000"/>
              <w:left w:val="single" w:sz="6" w:space="0" w:color="000000"/>
              <w:bottom w:val="single" w:sz="6" w:space="0" w:color="000000"/>
              <w:right w:val="single" w:sz="6" w:space="0" w:color="000000"/>
            </w:tcBorders>
          </w:tcPr>
          <w:p w14:paraId="6B819CF6" w14:textId="77777777" w:rsidR="005B1006" w:rsidRDefault="005B1006" w:rsidP="00A250AE">
            <w:pPr>
              <w:spacing w:after="0" w:line="259" w:lineRule="auto"/>
              <w:ind w:left="2" w:firstLine="0"/>
            </w:pPr>
            <w:r>
              <w:t xml:space="preserve">Reti </w:t>
            </w:r>
          </w:p>
        </w:tc>
      </w:tr>
      <w:tr w:rsidR="005B1006" w14:paraId="1B93EA67"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5E28ECCA" w14:textId="77777777" w:rsidR="005B1006" w:rsidRDefault="005B1006" w:rsidP="00A250AE">
            <w:pPr>
              <w:spacing w:after="0" w:line="259" w:lineRule="auto"/>
              <w:ind w:left="0" w:firstLine="0"/>
            </w:pPr>
            <w:r>
              <w:rPr>
                <w:b/>
              </w:rPr>
              <w:t xml:space="preserve">Nieru un urīnizvades sistēmas traucējumi </w:t>
            </w:r>
          </w:p>
        </w:tc>
        <w:tc>
          <w:tcPr>
            <w:tcW w:w="1984" w:type="dxa"/>
            <w:tcBorders>
              <w:top w:val="single" w:sz="6" w:space="0" w:color="000000"/>
              <w:left w:val="single" w:sz="6" w:space="0" w:color="000000"/>
              <w:bottom w:val="single" w:sz="6" w:space="0" w:color="000000"/>
              <w:right w:val="single" w:sz="6" w:space="0" w:color="000000"/>
            </w:tcBorders>
          </w:tcPr>
          <w:p w14:paraId="6310EE54" w14:textId="77777777" w:rsidR="005B1006" w:rsidRDefault="005B1006" w:rsidP="00A250AE">
            <w:pPr>
              <w:spacing w:after="0" w:line="259" w:lineRule="auto"/>
              <w:ind w:left="2" w:firstLine="0"/>
            </w:pPr>
            <w:r>
              <w:rPr>
                <w:b/>
              </w:rPr>
              <w:t xml:space="preserve"> </w:t>
            </w:r>
          </w:p>
        </w:tc>
      </w:tr>
      <w:tr w:rsidR="005B1006" w14:paraId="3F21BE54"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4943BC0" w14:textId="77777777" w:rsidR="005B1006" w:rsidRDefault="005B1006" w:rsidP="00A250AE">
            <w:pPr>
              <w:spacing w:after="0" w:line="259" w:lineRule="auto"/>
              <w:ind w:left="0" w:firstLine="0"/>
            </w:pPr>
            <w:r>
              <w:t>Makroskopiska hematūrija/asiņošana urīnizvadkanālā</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15C4EF6C" w14:textId="77777777" w:rsidR="005B1006" w:rsidRDefault="005B1006" w:rsidP="00A250AE">
            <w:pPr>
              <w:spacing w:after="0" w:line="259" w:lineRule="auto"/>
              <w:ind w:left="2" w:firstLine="0"/>
            </w:pPr>
            <w:r>
              <w:t>Bieži</w:t>
            </w:r>
            <w:r>
              <w:rPr>
                <w:b/>
              </w:rPr>
              <w:t xml:space="preserve"> </w:t>
            </w:r>
          </w:p>
        </w:tc>
      </w:tr>
      <w:tr w:rsidR="005B1006" w14:paraId="3015FF79"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0C8F69EC" w14:textId="77777777" w:rsidR="005B1006" w:rsidRDefault="005B1006" w:rsidP="00A250AE">
            <w:pPr>
              <w:spacing w:after="0" w:line="259" w:lineRule="auto"/>
              <w:ind w:left="0" w:firstLine="0"/>
            </w:pPr>
            <w:r>
              <w:rPr>
                <w:b/>
              </w:rPr>
              <w:t xml:space="preserve">Reproduktīvās sistēmas traucējumi un krūts slimības </w:t>
            </w:r>
          </w:p>
        </w:tc>
        <w:tc>
          <w:tcPr>
            <w:tcW w:w="1984" w:type="dxa"/>
            <w:tcBorders>
              <w:top w:val="single" w:sz="6" w:space="0" w:color="000000"/>
              <w:left w:val="single" w:sz="6" w:space="0" w:color="000000"/>
              <w:bottom w:val="single" w:sz="6" w:space="0" w:color="000000"/>
              <w:right w:val="single" w:sz="6" w:space="0" w:color="000000"/>
            </w:tcBorders>
          </w:tcPr>
          <w:p w14:paraId="74DF2832" w14:textId="77777777" w:rsidR="005B1006" w:rsidRDefault="005B1006" w:rsidP="00A250AE">
            <w:pPr>
              <w:spacing w:after="0" w:line="259" w:lineRule="auto"/>
              <w:ind w:left="2" w:firstLine="0"/>
            </w:pPr>
            <w:r>
              <w:rPr>
                <w:b/>
              </w:rPr>
              <w:t xml:space="preserve"> </w:t>
            </w:r>
          </w:p>
        </w:tc>
      </w:tr>
      <w:tr w:rsidR="005B1006" w14:paraId="61E862AC"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56F6A1CB" w14:textId="77777777" w:rsidR="005B1006" w:rsidRDefault="005B1006" w:rsidP="00A250AE">
            <w:pPr>
              <w:spacing w:after="0" w:line="259" w:lineRule="auto"/>
              <w:ind w:left="0" w:firstLine="0"/>
            </w:pPr>
            <w:r>
              <w:t>Maksts asiņošana</w:t>
            </w:r>
            <w:r>
              <w:rPr>
                <w:vertAlign w:val="superscript"/>
              </w:rPr>
              <w:footnoteReference w:id="1"/>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4EA9C49C" w14:textId="77777777" w:rsidR="005B1006" w:rsidRDefault="005B1006" w:rsidP="00A250AE">
            <w:pPr>
              <w:spacing w:after="0" w:line="259" w:lineRule="auto"/>
              <w:ind w:left="2" w:firstLine="0"/>
            </w:pPr>
            <w:r>
              <w:t>Bieži</w:t>
            </w:r>
            <w:r>
              <w:rPr>
                <w:b/>
              </w:rPr>
              <w:t xml:space="preserve"> </w:t>
            </w:r>
          </w:p>
        </w:tc>
      </w:tr>
      <w:tr w:rsidR="005B1006" w14:paraId="06ED3C20"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2B1E3DB2" w14:textId="77777777" w:rsidR="005B1006" w:rsidRDefault="005B1006" w:rsidP="00A250AE">
            <w:pPr>
              <w:spacing w:after="0" w:line="259" w:lineRule="auto"/>
              <w:ind w:left="0" w:firstLine="0"/>
            </w:pPr>
            <w:r>
              <w:rPr>
                <w:b/>
              </w:rPr>
              <w:t xml:space="preserve">Vispārēji traucējumi un reakcijas ievadīšanas vietā </w:t>
            </w:r>
          </w:p>
        </w:tc>
        <w:tc>
          <w:tcPr>
            <w:tcW w:w="1984" w:type="dxa"/>
            <w:tcBorders>
              <w:top w:val="single" w:sz="6" w:space="0" w:color="000000"/>
              <w:left w:val="single" w:sz="6" w:space="0" w:color="000000"/>
              <w:bottom w:val="single" w:sz="6" w:space="0" w:color="000000"/>
              <w:right w:val="single" w:sz="6" w:space="0" w:color="000000"/>
            </w:tcBorders>
          </w:tcPr>
          <w:p w14:paraId="4231AE01" w14:textId="77777777" w:rsidR="005B1006" w:rsidRDefault="005B1006" w:rsidP="00A250AE">
            <w:pPr>
              <w:spacing w:after="0" w:line="259" w:lineRule="auto"/>
              <w:ind w:left="2" w:firstLine="0"/>
            </w:pPr>
            <w:r>
              <w:rPr>
                <w:b/>
              </w:rPr>
              <w:t xml:space="preserve"> </w:t>
            </w:r>
          </w:p>
        </w:tc>
      </w:tr>
      <w:tr w:rsidR="005B1006" w14:paraId="6C90AAA2"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56285058" w14:textId="77777777" w:rsidR="005B1006" w:rsidRDefault="005B1006" w:rsidP="00A250AE">
            <w:pPr>
              <w:spacing w:after="0" w:line="259" w:lineRule="auto"/>
              <w:ind w:left="0" w:firstLine="0"/>
            </w:pPr>
            <w:r>
              <w:t>Asiņošana dūriena vietā</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639F2D10" w14:textId="77777777" w:rsidR="005B1006" w:rsidRDefault="005B1006" w:rsidP="00A250AE">
            <w:pPr>
              <w:spacing w:after="0" w:line="259" w:lineRule="auto"/>
              <w:ind w:left="2" w:firstLine="0"/>
            </w:pPr>
            <w:r>
              <w:t xml:space="preserve">Bieži </w:t>
            </w:r>
          </w:p>
        </w:tc>
      </w:tr>
      <w:tr w:rsidR="005B1006" w14:paraId="29789F45"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04EEF14E" w14:textId="77777777" w:rsidR="005B1006" w:rsidRDefault="005B1006" w:rsidP="00A250AE">
            <w:pPr>
              <w:spacing w:after="0" w:line="259" w:lineRule="auto"/>
              <w:ind w:left="0" w:firstLine="0"/>
            </w:pPr>
            <w:r>
              <w:rPr>
                <w:b/>
              </w:rPr>
              <w:t xml:space="preserve">Izmeklējumi </w:t>
            </w:r>
          </w:p>
        </w:tc>
        <w:tc>
          <w:tcPr>
            <w:tcW w:w="1984" w:type="dxa"/>
            <w:tcBorders>
              <w:top w:val="single" w:sz="6" w:space="0" w:color="000000"/>
              <w:left w:val="single" w:sz="6" w:space="0" w:color="000000"/>
              <w:bottom w:val="single" w:sz="6" w:space="0" w:color="000000"/>
              <w:right w:val="single" w:sz="6" w:space="0" w:color="000000"/>
            </w:tcBorders>
          </w:tcPr>
          <w:p w14:paraId="5DABF8E7" w14:textId="77777777" w:rsidR="005B1006" w:rsidRDefault="005B1006" w:rsidP="00A250AE">
            <w:pPr>
              <w:spacing w:after="0" w:line="259" w:lineRule="auto"/>
              <w:ind w:left="2" w:firstLine="0"/>
            </w:pPr>
            <w:r>
              <w:rPr>
                <w:b/>
              </w:rPr>
              <w:t xml:space="preserve"> </w:t>
            </w:r>
          </w:p>
        </w:tc>
      </w:tr>
      <w:tr w:rsidR="005B1006" w14:paraId="1572745D"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382DC62" w14:textId="77777777" w:rsidR="005B1006" w:rsidRDefault="005B1006" w:rsidP="00A250AE">
            <w:pPr>
              <w:spacing w:after="0" w:line="259" w:lineRule="auto"/>
              <w:ind w:left="0" w:firstLine="0"/>
            </w:pPr>
            <w:r>
              <w:t xml:space="preserve">Patoloģiski aknu darbības testa rādītāji </w:t>
            </w:r>
          </w:p>
        </w:tc>
        <w:tc>
          <w:tcPr>
            <w:tcW w:w="1984" w:type="dxa"/>
            <w:tcBorders>
              <w:top w:val="single" w:sz="6" w:space="0" w:color="000000"/>
              <w:left w:val="single" w:sz="6" w:space="0" w:color="000000"/>
              <w:bottom w:val="single" w:sz="6" w:space="0" w:color="000000"/>
              <w:right w:val="single" w:sz="6" w:space="0" w:color="000000"/>
            </w:tcBorders>
          </w:tcPr>
          <w:p w14:paraId="1E4D4590" w14:textId="77777777" w:rsidR="005B1006" w:rsidRDefault="005B1006" w:rsidP="00A250AE">
            <w:pPr>
              <w:spacing w:after="0" w:line="259" w:lineRule="auto"/>
              <w:ind w:left="2" w:firstLine="0"/>
            </w:pPr>
            <w:r>
              <w:t xml:space="preserve">Bieži </w:t>
            </w:r>
          </w:p>
        </w:tc>
      </w:tr>
      <w:tr w:rsidR="005B1006" w14:paraId="7AF81229"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62E6DF76" w14:textId="77777777" w:rsidR="005B1006" w:rsidRDefault="005B1006" w:rsidP="00A250AE">
            <w:pPr>
              <w:spacing w:after="0" w:line="259" w:lineRule="auto"/>
              <w:ind w:left="0" w:firstLine="0"/>
            </w:pPr>
            <w:r>
              <w:rPr>
                <w:b/>
              </w:rPr>
              <w:t xml:space="preserve">Traumas, saindēšanās un ar manipulācijām saistītas komplikācijas </w:t>
            </w:r>
          </w:p>
        </w:tc>
        <w:tc>
          <w:tcPr>
            <w:tcW w:w="1984" w:type="dxa"/>
            <w:tcBorders>
              <w:top w:val="single" w:sz="6" w:space="0" w:color="000000"/>
              <w:left w:val="single" w:sz="6" w:space="0" w:color="000000"/>
              <w:bottom w:val="single" w:sz="6" w:space="0" w:color="000000"/>
              <w:right w:val="single" w:sz="6" w:space="0" w:color="000000"/>
            </w:tcBorders>
          </w:tcPr>
          <w:p w14:paraId="4E179D3D" w14:textId="77777777" w:rsidR="005B1006" w:rsidRDefault="005B1006" w:rsidP="00A250AE">
            <w:pPr>
              <w:spacing w:after="0" w:line="259" w:lineRule="auto"/>
              <w:ind w:left="2" w:firstLine="0"/>
            </w:pPr>
            <w:r>
              <w:rPr>
                <w:b/>
              </w:rPr>
              <w:t xml:space="preserve"> </w:t>
            </w:r>
          </w:p>
        </w:tc>
      </w:tr>
      <w:tr w:rsidR="005B1006" w14:paraId="32EAECAF" w14:textId="77777777" w:rsidTr="00A250AE">
        <w:trPr>
          <w:trHeight w:val="348"/>
        </w:trPr>
        <w:tc>
          <w:tcPr>
            <w:tcW w:w="6944" w:type="dxa"/>
            <w:tcBorders>
              <w:top w:val="single" w:sz="6" w:space="0" w:color="000000"/>
              <w:left w:val="single" w:sz="6" w:space="0" w:color="000000"/>
              <w:bottom w:val="single" w:sz="6" w:space="0" w:color="000000"/>
              <w:right w:val="single" w:sz="6" w:space="0" w:color="000000"/>
            </w:tcBorders>
          </w:tcPr>
          <w:p w14:paraId="19DDA968" w14:textId="77777777" w:rsidR="005B1006" w:rsidRDefault="005B1006" w:rsidP="00A250AE">
            <w:pPr>
              <w:spacing w:after="0" w:line="259" w:lineRule="auto"/>
              <w:ind w:left="0" w:firstLine="0"/>
            </w:pPr>
            <w:r>
              <w:t>Asiņošana ķirurģiskās procedūras vietā</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67B8ADA8" w14:textId="77777777" w:rsidR="005B1006" w:rsidRDefault="005B1006" w:rsidP="00A250AE">
            <w:pPr>
              <w:spacing w:after="0" w:line="259" w:lineRule="auto"/>
              <w:ind w:left="2" w:firstLine="0"/>
            </w:pPr>
            <w:r>
              <w:t>Retāk</w:t>
            </w:r>
            <w:r>
              <w:rPr>
                <w:b/>
              </w:rPr>
              <w:t xml:space="preserve"> </w:t>
            </w:r>
          </w:p>
        </w:tc>
      </w:tr>
      <w:tr w:rsidR="005B1006" w14:paraId="007065A2" w14:textId="77777777" w:rsidTr="00A250AE">
        <w:trPr>
          <w:trHeight w:val="388"/>
        </w:trPr>
        <w:tc>
          <w:tcPr>
            <w:tcW w:w="6944" w:type="dxa"/>
            <w:tcBorders>
              <w:top w:val="single" w:sz="6" w:space="0" w:color="000000"/>
              <w:left w:val="single" w:sz="6" w:space="0" w:color="000000"/>
              <w:bottom w:val="single" w:sz="6" w:space="0" w:color="000000"/>
              <w:right w:val="single" w:sz="6" w:space="0" w:color="000000"/>
            </w:tcBorders>
          </w:tcPr>
          <w:p w14:paraId="7986C991" w14:textId="77777777" w:rsidR="005B1006" w:rsidRDefault="005B1006" w:rsidP="00A250AE">
            <w:pPr>
              <w:spacing w:after="0" w:line="259" w:lineRule="auto"/>
              <w:ind w:left="0" w:firstLine="0"/>
            </w:pPr>
            <w:r>
              <w:t xml:space="preserve">Subdurāls asinsizplūdums </w:t>
            </w:r>
          </w:p>
        </w:tc>
        <w:tc>
          <w:tcPr>
            <w:tcW w:w="1984" w:type="dxa"/>
            <w:tcBorders>
              <w:top w:val="single" w:sz="6" w:space="0" w:color="000000"/>
              <w:left w:val="single" w:sz="6" w:space="0" w:color="000000"/>
              <w:bottom w:val="single" w:sz="6" w:space="0" w:color="000000"/>
              <w:right w:val="single" w:sz="6" w:space="0" w:color="000000"/>
            </w:tcBorders>
          </w:tcPr>
          <w:p w14:paraId="42EFB144" w14:textId="77777777" w:rsidR="005B1006" w:rsidRDefault="005B1006" w:rsidP="00A250AE">
            <w:pPr>
              <w:spacing w:after="0" w:line="259" w:lineRule="auto"/>
              <w:ind w:left="2" w:firstLine="0"/>
            </w:pPr>
            <w:r>
              <w:t xml:space="preserve">Reti </w:t>
            </w:r>
          </w:p>
        </w:tc>
      </w:tr>
      <w:tr w:rsidR="005B1006" w14:paraId="345F7B0D" w14:textId="77777777" w:rsidTr="00A250AE">
        <w:trPr>
          <w:trHeight w:val="386"/>
        </w:trPr>
        <w:tc>
          <w:tcPr>
            <w:tcW w:w="6944" w:type="dxa"/>
            <w:tcBorders>
              <w:top w:val="single" w:sz="6" w:space="0" w:color="000000"/>
              <w:left w:val="single" w:sz="6" w:space="0" w:color="000000"/>
              <w:bottom w:val="single" w:sz="6" w:space="0" w:color="000000"/>
              <w:right w:val="single" w:sz="6" w:space="0" w:color="000000"/>
            </w:tcBorders>
          </w:tcPr>
          <w:p w14:paraId="72F7A8DA" w14:textId="77777777" w:rsidR="005B1006" w:rsidRDefault="005B1006" w:rsidP="00A250AE">
            <w:pPr>
              <w:spacing w:after="0" w:line="259" w:lineRule="auto"/>
              <w:ind w:left="0" w:firstLine="0"/>
            </w:pPr>
            <w:r>
              <w:t>Ar manipulācijām saistīta asiņošana</w:t>
            </w:r>
            <w:r>
              <w:rPr>
                <w:b/>
              </w:rPr>
              <w:t xml:space="preserve"> </w:t>
            </w:r>
          </w:p>
        </w:tc>
        <w:tc>
          <w:tcPr>
            <w:tcW w:w="1984" w:type="dxa"/>
            <w:tcBorders>
              <w:top w:val="single" w:sz="6" w:space="0" w:color="000000"/>
              <w:left w:val="single" w:sz="6" w:space="0" w:color="000000"/>
              <w:bottom w:val="single" w:sz="6" w:space="0" w:color="000000"/>
              <w:right w:val="single" w:sz="6" w:space="0" w:color="000000"/>
            </w:tcBorders>
          </w:tcPr>
          <w:p w14:paraId="2215AB75" w14:textId="77777777" w:rsidR="005B1006" w:rsidRDefault="005B1006" w:rsidP="00A250AE">
            <w:pPr>
              <w:spacing w:after="0" w:line="259" w:lineRule="auto"/>
              <w:ind w:left="2" w:firstLine="0"/>
            </w:pPr>
            <w:r>
              <w:t xml:space="preserve">Reti </w:t>
            </w:r>
          </w:p>
        </w:tc>
      </w:tr>
    </w:tbl>
    <w:p w14:paraId="4E006981" w14:textId="77777777" w:rsidR="005B1006" w:rsidRDefault="005B1006" w:rsidP="005B1006">
      <w:pPr>
        <w:spacing w:after="66" w:line="259" w:lineRule="auto"/>
        <w:ind w:firstLine="0"/>
      </w:pPr>
      <w:r>
        <w:t xml:space="preserve"> </w:t>
      </w:r>
    </w:p>
    <w:p w14:paraId="00DC5428" w14:textId="77777777" w:rsidR="005B1006" w:rsidRDefault="005B1006" w:rsidP="005B1006">
      <w:pPr>
        <w:pStyle w:val="Heading2"/>
        <w:ind w:left="0"/>
      </w:pPr>
      <w:r>
        <w:t>Atsevišķu nevēlamo blakusparādību apraksts</w:t>
      </w:r>
      <w:r>
        <w:rPr>
          <w:sz w:val="24"/>
          <w:u w:val="none"/>
        </w:rPr>
        <w:t xml:space="preserve"> </w:t>
      </w:r>
    </w:p>
    <w:p w14:paraId="1F95314A" w14:textId="77777777" w:rsidR="005B1006" w:rsidRDefault="005B1006" w:rsidP="005B1006">
      <w:pPr>
        <w:spacing w:after="49" w:line="259" w:lineRule="auto"/>
        <w:ind w:firstLine="0"/>
      </w:pPr>
      <w:r>
        <w:t xml:space="preserve"> </w:t>
      </w:r>
    </w:p>
    <w:p w14:paraId="3990A48C" w14:textId="77777777" w:rsidR="005B1006" w:rsidRDefault="005B1006" w:rsidP="005B1006">
      <w:pPr>
        <w:pStyle w:val="Heading3"/>
        <w:ind w:left="-1"/>
      </w:pPr>
      <w:r>
        <w:t xml:space="preserve">Hemorāģiska anēmija </w:t>
      </w:r>
    </w:p>
    <w:p w14:paraId="7D056AD5" w14:textId="77777777" w:rsidR="005B1006" w:rsidRDefault="005B1006" w:rsidP="005B1006">
      <w:pPr>
        <w:spacing w:after="56"/>
        <w:ind w:left="-10" w:right="120"/>
      </w:pPr>
      <w:r>
        <w:t xml:space="preserve">Farmakoloģiskās darbības dēļ edoksabāna lietošana var būt saistīta ar paaugstinātu jebkuru audu vai orgāna slēptas vai atklātas asiņošanas risku, kas var izraisīt posthemorāģisku anēmiju. Asiņošanas pazīmes, simptomi un smagums (arī letāls iznākums) var atšķirties atkarībā no asiņošanas vietas un asiņošanas un/vai anēmijas izteiktības (skatīt 4.9. apakšpunktu). Klīniskajos pētījumos asiņošana no gļotādām (t. i., deguna, kuņģa-zarnu trakta, uroģenitālās sistēmas asiņošana) un anēmija biežāk novērota ilgstošas edoksabāna terapijas gadījumā salīdzinājumā ar KVA terapiju. Tādējādi papildus atbilstošai klīniskai uzraudzībai varētu būt lietderīgi pēc nepieciešamības veikt laboratorisku hemoglobīna/hematokrīta noteikšanu, lai atklātu slēptu asiņošanu. Asiņošanas risks var būt palielināts noteiktām pacientu grupām, piemēram, pacientiem ar smagu nekontrolētu arteriālo hipertensiju un/vai pacientiem, kuri vienlaicīgi saņem ārstēšanu, kas ietekmē hemostāzi (skatīt 4.4. apakšpunktu). Var pastiprināties un/vai pagarināties menstruālā asiņošana. Par hemorāģiskām komplikācijām var liecināt vājums, bālums, reibonis, galvassāpes vai neizskaidrojams pietūkums, elpas trūkums un neizskaidrojams šoks.  </w:t>
      </w:r>
    </w:p>
    <w:p w14:paraId="53E058FA" w14:textId="77777777" w:rsidR="005B1006" w:rsidRDefault="005B1006" w:rsidP="005B1006">
      <w:pPr>
        <w:ind w:left="-10" w:right="8"/>
      </w:pPr>
      <w:r>
        <w:t>Edoksabāna lietošanas laikā ziņots par labi zināmu smagas asiņošanas radītu komplikāciju, piemēram, muskuļu fasciālās telpas nospieduma sindroma (</w:t>
      </w:r>
      <w:r>
        <w:rPr>
          <w:i/>
        </w:rPr>
        <w:t>compartment syndrome</w:t>
      </w:r>
      <w:r>
        <w:t xml:space="preserve">) un nieru mazspējas, attīstību hipoperfūzijas dēļ. Šī iemesla dēļ, novērtējot stāvokli jebkuram pacientam, kurš saņem antikoagulantus, jāapsver asiņošanas iespēja. </w:t>
      </w:r>
    </w:p>
    <w:p w14:paraId="60C2425D" w14:textId="77777777" w:rsidR="005B1006" w:rsidRDefault="005B1006" w:rsidP="005B1006">
      <w:pPr>
        <w:spacing w:after="47" w:line="259" w:lineRule="auto"/>
        <w:ind w:firstLine="0"/>
      </w:pPr>
      <w:r>
        <w:t xml:space="preserve"> </w:t>
      </w:r>
    </w:p>
    <w:p w14:paraId="1778D7EF" w14:textId="77777777" w:rsidR="005B1006" w:rsidRDefault="005B1006" w:rsidP="005B1006">
      <w:pPr>
        <w:pStyle w:val="Heading2"/>
        <w:ind w:left="0"/>
      </w:pPr>
      <w:r>
        <w:t>Ziņošana par iespējamām nevēlamām blakusparādībām</w:t>
      </w:r>
      <w:r>
        <w:rPr>
          <w:u w:val="none"/>
        </w:rPr>
        <w:t xml:space="preserve"> </w:t>
      </w:r>
    </w:p>
    <w:p w14:paraId="12009FC1" w14:textId="77777777" w:rsidR="005B1006" w:rsidRDefault="005B1006" w:rsidP="005B1006">
      <w:pPr>
        <w:spacing w:after="0" w:line="259" w:lineRule="auto"/>
        <w:ind w:firstLine="0"/>
      </w:pPr>
      <w:r>
        <w:t xml:space="preserve"> </w:t>
      </w:r>
    </w:p>
    <w:p w14:paraId="3CFD5DDE" w14:textId="77777777" w:rsidR="005B1006" w:rsidRDefault="005B1006" w:rsidP="005B1006">
      <w:pPr>
        <w:spacing w:after="42"/>
        <w:ind w:left="-10" w:right="8"/>
      </w:pPr>
      <w:r>
        <w:t xml:space="preserve">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izmantojot </w:t>
      </w:r>
      <w:hyperlink r:id="rId7">
        <w:r>
          <w:rPr>
            <w:color w:val="0000FF"/>
            <w:u w:val="single" w:color="0000FF"/>
            <w:shd w:val="clear" w:color="auto" w:fill="D3D3D3"/>
          </w:rPr>
          <w:t>V pielikumā</w:t>
        </w:r>
      </w:hyperlink>
      <w:hyperlink r:id="rId8">
        <w:r>
          <w:rPr>
            <w:shd w:val="clear" w:color="auto" w:fill="D3D3D3"/>
          </w:rPr>
          <w:t xml:space="preserve"> </w:t>
        </w:r>
      </w:hyperlink>
      <w:r>
        <w:rPr>
          <w:shd w:val="clear" w:color="auto" w:fill="D3D3D3"/>
        </w:rPr>
        <w:t>minēto nacionālās</w:t>
      </w:r>
      <w:r>
        <w:t xml:space="preserve"> </w:t>
      </w:r>
      <w:r>
        <w:rPr>
          <w:shd w:val="clear" w:color="auto" w:fill="D3D3D3"/>
        </w:rPr>
        <w:t>ziņošanas sistēmas kontaktinformāciju.</w:t>
      </w:r>
      <w:r>
        <w:t xml:space="preserve"> </w:t>
      </w:r>
    </w:p>
    <w:p w14:paraId="5F06F4AC" w14:textId="77777777" w:rsidR="005B1006" w:rsidRDefault="005B1006" w:rsidP="005B1006">
      <w:pPr>
        <w:spacing w:after="36" w:line="259" w:lineRule="auto"/>
        <w:ind w:firstLine="0"/>
      </w:pPr>
      <w:r>
        <w:t xml:space="preserve"> </w:t>
      </w:r>
    </w:p>
    <w:p w14:paraId="28E56153" w14:textId="77777777" w:rsidR="005B1006" w:rsidRDefault="005B1006" w:rsidP="005B1006">
      <w:pPr>
        <w:pStyle w:val="Heading3"/>
        <w:tabs>
          <w:tab w:val="center" w:pos="1170"/>
        </w:tabs>
        <w:spacing w:after="0"/>
        <w:ind w:left="-10" w:firstLine="0"/>
      </w:pPr>
      <w:r>
        <w:rPr>
          <w:b/>
          <w:i w:val="0"/>
        </w:rPr>
        <w:t xml:space="preserve">4.9. </w:t>
      </w:r>
      <w:r>
        <w:rPr>
          <w:b/>
          <w:i w:val="0"/>
        </w:rPr>
        <w:tab/>
        <w:t>Pārdozēšana</w:t>
      </w:r>
      <w:r>
        <w:rPr>
          <w:i w:val="0"/>
        </w:rPr>
        <w:t xml:space="preserve"> </w:t>
      </w:r>
    </w:p>
    <w:p w14:paraId="02D363C7" w14:textId="77777777" w:rsidR="005B1006" w:rsidRDefault="005B1006" w:rsidP="005B1006">
      <w:pPr>
        <w:spacing w:after="0" w:line="259" w:lineRule="auto"/>
        <w:ind w:firstLine="0"/>
      </w:pPr>
      <w:r>
        <w:t xml:space="preserve"> </w:t>
      </w:r>
    </w:p>
    <w:p w14:paraId="02A78CBC" w14:textId="77777777" w:rsidR="005B1006" w:rsidRDefault="005B1006" w:rsidP="005B1006">
      <w:pPr>
        <w:spacing w:after="29"/>
        <w:ind w:left="-10" w:right="8"/>
      </w:pPr>
      <w:r>
        <w:t xml:space="preserve">Edoksabāna pārdozēšana var izraisīt asiņošanu. Pieredze ar pārdozēšanas gadījumiem ir ļoti ierobežota. </w:t>
      </w:r>
    </w:p>
    <w:p w14:paraId="70CEA7B1" w14:textId="77777777" w:rsidR="005B1006" w:rsidRDefault="005B1006" w:rsidP="005B1006">
      <w:pPr>
        <w:spacing w:after="47" w:line="259" w:lineRule="auto"/>
        <w:ind w:firstLine="0"/>
      </w:pPr>
      <w:r>
        <w:t xml:space="preserve"> </w:t>
      </w:r>
    </w:p>
    <w:p w14:paraId="43042642" w14:textId="77777777" w:rsidR="005B1006" w:rsidRDefault="005B1006" w:rsidP="005B1006">
      <w:pPr>
        <w:ind w:left="-10" w:right="8"/>
      </w:pPr>
      <w:r>
        <w:t xml:space="preserve">Nav pieejams specifisks antidots, kas novērstu edoksabāna farmakodinamisko iedarbību. </w:t>
      </w:r>
    </w:p>
    <w:p w14:paraId="113C9902" w14:textId="77777777" w:rsidR="005B1006" w:rsidRDefault="005B1006" w:rsidP="005B1006">
      <w:pPr>
        <w:spacing w:after="0" w:line="259" w:lineRule="auto"/>
        <w:ind w:firstLine="0"/>
      </w:pPr>
      <w:r>
        <w:t xml:space="preserve"> </w:t>
      </w:r>
    </w:p>
    <w:p w14:paraId="5CC68BD6" w14:textId="77777777" w:rsidR="005B1006" w:rsidRDefault="005B1006" w:rsidP="005B1006">
      <w:pPr>
        <w:ind w:left="-10" w:right="8"/>
      </w:pPr>
      <w:r>
        <w:t xml:space="preserve">Edoksabāna pārdozēšanas gadījumā var apsvērt aktivētās ogles agrīnu lietošanu, lai samazinātu absorbciju. Šo ieteikumu pamato standarta terapija zāļu pārdozēšanas gadījumā un dati, kas pieejami par līdzīgiem savienojumiem, jo aktivētās ogles lietošana, lai samazinātu edoksabāna absorbciju, edoksabāna klīniskajā programmā nav īpaši pētīta. </w:t>
      </w:r>
    </w:p>
    <w:p w14:paraId="47EF6DBA" w14:textId="77777777" w:rsidR="005B1006" w:rsidRDefault="005B1006" w:rsidP="005B1006">
      <w:pPr>
        <w:spacing w:after="45" w:line="259" w:lineRule="auto"/>
        <w:ind w:firstLine="0"/>
      </w:pPr>
      <w:r>
        <w:t xml:space="preserve"> </w:t>
      </w:r>
    </w:p>
    <w:p w14:paraId="4751625E" w14:textId="77777777" w:rsidR="005B1006" w:rsidRDefault="005B1006" w:rsidP="005B1006">
      <w:pPr>
        <w:pStyle w:val="Heading2"/>
        <w:ind w:left="0"/>
      </w:pPr>
      <w:r>
        <w:t>Rīcības taktika asiņošanas gadījumā</w:t>
      </w:r>
      <w:r>
        <w:rPr>
          <w:u w:val="none"/>
        </w:rPr>
        <w:t xml:space="preserve"> </w:t>
      </w:r>
    </w:p>
    <w:p w14:paraId="18379C46" w14:textId="77777777" w:rsidR="005B1006" w:rsidRDefault="005B1006" w:rsidP="005B1006">
      <w:pPr>
        <w:spacing w:after="0" w:line="259" w:lineRule="auto"/>
        <w:ind w:firstLine="0"/>
      </w:pPr>
      <w:r>
        <w:t xml:space="preserve"> </w:t>
      </w:r>
    </w:p>
    <w:p w14:paraId="2872E107" w14:textId="77777777" w:rsidR="005B1006" w:rsidRDefault="005B1006" w:rsidP="005B1006">
      <w:pPr>
        <w:ind w:left="-10" w:right="8"/>
      </w:pPr>
      <w:r>
        <w:t xml:space="preserve">Ja pacientam, kurš lieto edoksabānu, attīstās asiņošana, nākamās edoksabāna devas ievadīšana jāatliek vai ārstēšana jāpārtrauc atbilstoši nepieciešamībai. Edoksabāna eliminācijas pusperiods ir aptuveni 10 līdz 14 stundas (skatīt 5.2. apakšpunktu). Rīcības taktikai jābūt individuālai atbilstoši asiņošanas smagumam un lokalizācijai. Pēc nepieciešamības var izmantot atbilstošu simptomātisku ārstēšanu, piemēram, mehānisku kompresiju (piemēram, smagas deguna asiņošanas gadījumā), ķirurģisku hemostāzi ar asiņošanu ierobežojošām procedūrām, šķidruma aizvietošanu un hemodinamikas uzturēšanu, asins produktu (eritrocītu masas vai svaigi saldētas plazmas atkarībā no pavadošās anēmijas vai koagulopātijas) vai trombocītu transfūziju. </w:t>
      </w:r>
    </w:p>
    <w:p w14:paraId="5A2F9AD7" w14:textId="77777777" w:rsidR="005B1006" w:rsidRDefault="005B1006" w:rsidP="005B1006">
      <w:pPr>
        <w:spacing w:after="46" w:line="259" w:lineRule="auto"/>
        <w:ind w:firstLine="0"/>
      </w:pPr>
      <w:r>
        <w:t xml:space="preserve"> </w:t>
      </w:r>
    </w:p>
    <w:p w14:paraId="6F540704" w14:textId="77777777" w:rsidR="005B1006" w:rsidRDefault="005B1006" w:rsidP="005B1006">
      <w:pPr>
        <w:spacing w:line="320" w:lineRule="auto"/>
        <w:ind w:left="-10" w:right="8"/>
      </w:pPr>
      <w:r>
        <w:t xml:space="preserve">Ja dzīvībai bīstamu asiņošanu nav iespējams kontrolēt ar tādiem pasākumiem kā transfūzija vai hemostāze, 4 faktoru protrombīna kompleksa koncentrāta (prothrombin complex concentrate – PCC) ievade devā 50 SV/kg ir uzrādījusi atgriezenisku edoksabāna iedarbību 30 minūtes pēc infūzijas pabeigšanas. </w:t>
      </w:r>
    </w:p>
    <w:p w14:paraId="059E074A" w14:textId="77777777" w:rsidR="005B1006" w:rsidRDefault="005B1006" w:rsidP="005B1006">
      <w:pPr>
        <w:spacing w:after="0" w:line="259" w:lineRule="auto"/>
        <w:ind w:firstLine="0"/>
      </w:pPr>
      <w:r>
        <w:t xml:space="preserve"> </w:t>
      </w:r>
    </w:p>
    <w:p w14:paraId="1A8A457A" w14:textId="77777777" w:rsidR="005B1006" w:rsidRDefault="005B1006" w:rsidP="005B1006">
      <w:pPr>
        <w:spacing w:line="321" w:lineRule="auto"/>
        <w:ind w:left="-10" w:right="8"/>
      </w:pPr>
      <w:r>
        <w:t xml:space="preserve">Apsverama arī rekombinētā faktora VIIa (r-FVIIa) izmantošana. Tomēr klīniskā pieredze šo zāļu lietošanā cilvēkiem, kas saņem edoksabānu, ir ierobežota. </w:t>
      </w:r>
    </w:p>
    <w:p w14:paraId="45981783" w14:textId="77777777" w:rsidR="005B1006" w:rsidRDefault="005B1006" w:rsidP="005B1006">
      <w:pPr>
        <w:spacing w:after="46" w:line="259" w:lineRule="auto"/>
        <w:ind w:firstLine="0"/>
      </w:pPr>
      <w:r>
        <w:t xml:space="preserve"> </w:t>
      </w:r>
    </w:p>
    <w:p w14:paraId="76CACD49" w14:textId="77777777" w:rsidR="005B1006" w:rsidRDefault="005B1006" w:rsidP="005B1006">
      <w:pPr>
        <w:spacing w:line="321" w:lineRule="auto"/>
        <w:ind w:left="-10" w:right="8"/>
      </w:pPr>
      <w:r>
        <w:t xml:space="preserve">Atkarībā no eksperta vietējās pieejamības ievērojamas asiņošanas gadījumā jāapsver asinsreces speciālista konsultācijas iespējamība. </w:t>
      </w:r>
    </w:p>
    <w:p w14:paraId="5D325B69" w14:textId="77777777" w:rsidR="005B1006" w:rsidRDefault="005B1006" w:rsidP="005B1006">
      <w:pPr>
        <w:spacing w:after="47" w:line="259" w:lineRule="auto"/>
        <w:ind w:firstLine="0"/>
      </w:pPr>
      <w:r>
        <w:t xml:space="preserve"> </w:t>
      </w:r>
    </w:p>
    <w:p w14:paraId="6FE9A894" w14:textId="77777777" w:rsidR="005B1006" w:rsidRDefault="005B1006" w:rsidP="005B1006">
      <w:pPr>
        <w:spacing w:line="318" w:lineRule="auto"/>
        <w:ind w:left="-10" w:right="8"/>
      </w:pPr>
      <w:r>
        <w:t xml:space="preserve">Nav sagaidāms, ka protamīna sulfāts un K vitamīns varētu ietekmēt edoksabāna antikoagulanta aktivitāti. </w:t>
      </w:r>
    </w:p>
    <w:p w14:paraId="71F52302" w14:textId="77777777" w:rsidR="005B1006" w:rsidRDefault="005B1006" w:rsidP="005B1006">
      <w:pPr>
        <w:spacing w:after="0" w:line="259" w:lineRule="auto"/>
        <w:ind w:firstLine="0"/>
      </w:pPr>
      <w:r>
        <w:t xml:space="preserve"> </w:t>
      </w:r>
    </w:p>
    <w:p w14:paraId="644CFDA2" w14:textId="77777777" w:rsidR="005B1006" w:rsidRDefault="005B1006" w:rsidP="005B1006">
      <w:pPr>
        <w:ind w:left="-10" w:right="8"/>
      </w:pPr>
      <w:r>
        <w:t xml:space="preserve">Nav pieredzes par antifibrinolītisko līdzekļu (traneksāmskābes, aminokapronskābes) lietošanu cilvēkiem, kuri saņem edoksabānu. Nav ne zinātniska pamatojuma, ne pieredzes, kas liecinātu par labu sistēmiskās hemostāzes izmantošanai (desmopresīns, aprotinīns) cilvēkiem, kuri saņem edoksabānu. Sakarā ar augstu saistīšanās spēju ar plazmas proteīniem edoksabānu nevar izdalīt no organisma ar dialīzes palīdzību. </w:t>
      </w:r>
    </w:p>
    <w:p w14:paraId="78AB1E11" w14:textId="77777777" w:rsidR="005B1006" w:rsidRDefault="005B1006" w:rsidP="005B1006">
      <w:pPr>
        <w:spacing w:after="0" w:line="259" w:lineRule="auto"/>
        <w:ind w:firstLine="0"/>
      </w:pPr>
      <w:r>
        <w:t xml:space="preserve"> </w:t>
      </w:r>
    </w:p>
    <w:p w14:paraId="57AD79CB" w14:textId="77777777" w:rsidR="005B1006" w:rsidRDefault="005B1006" w:rsidP="005B1006">
      <w:pPr>
        <w:spacing w:after="50" w:line="259" w:lineRule="auto"/>
        <w:ind w:firstLine="0"/>
      </w:pPr>
      <w:r>
        <w:t xml:space="preserve"> </w:t>
      </w:r>
    </w:p>
    <w:p w14:paraId="35265842" w14:textId="77777777" w:rsidR="005B1006" w:rsidRDefault="005B1006" w:rsidP="005B1006">
      <w:pPr>
        <w:pStyle w:val="Heading1"/>
        <w:tabs>
          <w:tab w:val="center" w:pos="2261"/>
        </w:tabs>
        <w:ind w:left="-10" w:right="0" w:firstLine="0"/>
      </w:pPr>
      <w:r>
        <w:t xml:space="preserve">5. </w:t>
      </w:r>
      <w:r>
        <w:tab/>
        <w:t>FARMAKOLOĢISKĀS ĪPAŠĪBAS</w:t>
      </w:r>
      <w:r>
        <w:rPr>
          <w:b w:val="0"/>
        </w:rPr>
        <w:t xml:space="preserve"> </w:t>
      </w:r>
    </w:p>
    <w:p w14:paraId="1B14AAF4" w14:textId="77777777" w:rsidR="005B1006" w:rsidRDefault="005B1006" w:rsidP="005B1006">
      <w:pPr>
        <w:spacing w:after="46" w:line="259" w:lineRule="auto"/>
        <w:ind w:firstLine="0"/>
      </w:pPr>
      <w:r>
        <w:t xml:space="preserve"> </w:t>
      </w:r>
    </w:p>
    <w:p w14:paraId="02EF175B" w14:textId="77777777" w:rsidR="005B1006" w:rsidRDefault="005B1006" w:rsidP="005B1006">
      <w:pPr>
        <w:pStyle w:val="Heading2"/>
        <w:tabs>
          <w:tab w:val="center" w:pos="1944"/>
        </w:tabs>
        <w:ind w:left="-10" w:firstLine="0"/>
      </w:pPr>
      <w:r>
        <w:rPr>
          <w:b/>
          <w:u w:val="none"/>
        </w:rPr>
        <w:t xml:space="preserve">5.1. </w:t>
      </w:r>
      <w:r>
        <w:rPr>
          <w:b/>
          <w:u w:val="none"/>
        </w:rPr>
        <w:tab/>
        <w:t>Farmakodinamiskās īpašības</w:t>
      </w:r>
      <w:r>
        <w:rPr>
          <w:u w:val="none"/>
        </w:rPr>
        <w:t xml:space="preserve"> </w:t>
      </w:r>
    </w:p>
    <w:p w14:paraId="295FA0D4" w14:textId="77777777" w:rsidR="005B1006" w:rsidRDefault="005B1006" w:rsidP="005B1006">
      <w:pPr>
        <w:spacing w:after="46" w:line="259" w:lineRule="auto"/>
        <w:ind w:firstLine="0"/>
      </w:pPr>
      <w:r>
        <w:t xml:space="preserve"> </w:t>
      </w:r>
    </w:p>
    <w:p w14:paraId="54A9A348" w14:textId="77777777" w:rsidR="005B1006" w:rsidRDefault="005B1006" w:rsidP="005B1006">
      <w:pPr>
        <w:spacing w:after="54"/>
        <w:ind w:left="-10" w:right="8"/>
      </w:pPr>
      <w:r>
        <w:t xml:space="preserve">Farmakoterapeitiskā grupa: antitrombotiskie līdzekļi, tiešie Xa faktora inhibitori; ATĶ kods: </w:t>
      </w:r>
    </w:p>
    <w:p w14:paraId="0AE9EFD4" w14:textId="77777777" w:rsidR="005B1006" w:rsidRDefault="005B1006" w:rsidP="005B1006">
      <w:pPr>
        <w:ind w:left="-10" w:right="8"/>
      </w:pPr>
      <w:r>
        <w:t xml:space="preserve">B01AF03 </w:t>
      </w:r>
    </w:p>
    <w:p w14:paraId="4BA2565B" w14:textId="77777777" w:rsidR="005B1006" w:rsidRDefault="005B1006" w:rsidP="005B1006">
      <w:pPr>
        <w:spacing w:after="45" w:line="259" w:lineRule="auto"/>
        <w:ind w:firstLine="0"/>
      </w:pPr>
      <w:r>
        <w:t xml:space="preserve"> </w:t>
      </w:r>
    </w:p>
    <w:p w14:paraId="2DD7BFB2" w14:textId="77777777" w:rsidR="005B1006" w:rsidRDefault="005B1006" w:rsidP="005B1006">
      <w:pPr>
        <w:pStyle w:val="Heading2"/>
        <w:ind w:left="0"/>
      </w:pPr>
      <w:r>
        <w:t>Darbības mehānisms</w:t>
      </w:r>
      <w:r>
        <w:rPr>
          <w:u w:val="none"/>
        </w:rPr>
        <w:t xml:space="preserve"> </w:t>
      </w:r>
    </w:p>
    <w:p w14:paraId="48E1D2F3" w14:textId="77777777" w:rsidR="005B1006" w:rsidRDefault="005B1006" w:rsidP="005B1006">
      <w:pPr>
        <w:spacing w:after="42" w:line="259" w:lineRule="auto"/>
        <w:ind w:firstLine="0"/>
      </w:pPr>
      <w:r>
        <w:t xml:space="preserve"> </w:t>
      </w:r>
    </w:p>
    <w:p w14:paraId="1A669277" w14:textId="77777777" w:rsidR="005B1006" w:rsidRDefault="005B1006" w:rsidP="005B1006">
      <w:pPr>
        <w:ind w:left="-10" w:right="8"/>
      </w:pPr>
      <w:r>
        <w:t xml:space="preserve">Edoksabāns ir ļoti selektīvs, tiešs un atgriezenisks FXa – serīna proteāzes, kas atrodas koagulācijas kaskādes beigu kopējā ceļā, – inhibitors. Edoksabāns nomāc brīvo FXa un protrombināzes darbību. FXa inhibīcija koagulācijas kaskādē mazina trombīna veidošanos, paildzina recēšanas laiku un mazina trombu veidošanās risku. </w:t>
      </w:r>
    </w:p>
    <w:p w14:paraId="6C0D9F11" w14:textId="77777777" w:rsidR="005B1006" w:rsidRDefault="005B1006" w:rsidP="005B1006">
      <w:pPr>
        <w:spacing w:after="45" w:line="259" w:lineRule="auto"/>
        <w:ind w:firstLine="0"/>
      </w:pPr>
      <w:r>
        <w:t xml:space="preserve"> </w:t>
      </w:r>
    </w:p>
    <w:p w14:paraId="619C4616" w14:textId="77777777" w:rsidR="005B1006" w:rsidRDefault="005B1006" w:rsidP="005B1006">
      <w:pPr>
        <w:pStyle w:val="Heading2"/>
        <w:ind w:left="0"/>
      </w:pPr>
      <w:r>
        <w:t>Farmakodinamiskā iedarbība</w:t>
      </w:r>
      <w:r>
        <w:rPr>
          <w:u w:val="none"/>
        </w:rPr>
        <w:t xml:space="preserve"> </w:t>
      </w:r>
    </w:p>
    <w:p w14:paraId="43399E06" w14:textId="77777777" w:rsidR="005B1006" w:rsidRDefault="005B1006" w:rsidP="005B1006">
      <w:pPr>
        <w:spacing w:after="46" w:line="259" w:lineRule="auto"/>
        <w:ind w:firstLine="0"/>
      </w:pPr>
      <w:r>
        <w:t xml:space="preserve"> </w:t>
      </w:r>
    </w:p>
    <w:p w14:paraId="14701277" w14:textId="77777777" w:rsidR="005B1006" w:rsidRDefault="005B1006" w:rsidP="005B1006">
      <w:pPr>
        <w:ind w:left="-10" w:right="8"/>
      </w:pPr>
      <w:r>
        <w:t>Edoksabāns izraisa strauju farmakodinamiskās iedarbības sākšanos 1–2 stundu laikā, kas atbilst edoksabāna maksimālajai iedarbībai (C</w:t>
      </w:r>
      <w:r>
        <w:rPr>
          <w:sz w:val="14"/>
        </w:rPr>
        <w:t>max</w:t>
      </w:r>
      <w:r>
        <w:t xml:space="preserve">). Ar anti-FXa analīzi noteiktā farmakodinamiskā iedarbība ir paredzama un saistīta ar edoksabāna devu un koncentrāciju. Edoksabāns FXa inhibīcijas rezultātā arī paildzina recēšanas laiku testos, piemēram, PL un aPTL. Lietojot terapeitiskās devas, paredzamas šajos recēšanas testos novērotās izmaiņas, tomēr šīs izmaiņas ir nelielas, to mainīguma pakāpe ir augsta, tāpēc tās nav noderīgas edoksabāna antikoagulanta iedarbības kontrolei. </w:t>
      </w:r>
    </w:p>
    <w:p w14:paraId="2A81213E" w14:textId="77777777" w:rsidR="005B1006" w:rsidRDefault="005B1006" w:rsidP="005B1006">
      <w:pPr>
        <w:spacing w:after="0" w:line="259" w:lineRule="auto"/>
        <w:ind w:firstLine="0"/>
      </w:pPr>
      <w:r>
        <w:t xml:space="preserve"> </w:t>
      </w:r>
    </w:p>
    <w:p w14:paraId="36E52256" w14:textId="77777777" w:rsidR="005B1006" w:rsidRDefault="005B1006" w:rsidP="005B1006">
      <w:pPr>
        <w:pStyle w:val="Heading3"/>
        <w:ind w:left="-1"/>
      </w:pPr>
      <w:r>
        <w:t xml:space="preserve">Ietekme uz koagulācijas marķieriem, pārejot no rivaroksabāna, dabigatrāna vai apiksabāna uz edoksabānu </w:t>
      </w:r>
    </w:p>
    <w:p w14:paraId="0F631CC7" w14:textId="77777777" w:rsidR="005B1006" w:rsidRDefault="005B1006" w:rsidP="005B1006">
      <w:pPr>
        <w:spacing w:after="29"/>
        <w:ind w:left="-10" w:right="113"/>
      </w:pPr>
      <w:r>
        <w:t xml:space="preserve">Klīniskos farmakoloģijas pētījumos veseli cilvēki lietoja rivaroksabānu 20 mg vienreiz dienā, dabigatrānu 150 mg divreiz dienā vai apiksabānu 5 mg divreiz dienā, pēc tam 4. dienā vienu devu edoksabāna 60 mg. Noteica ietekmi uz PL un citiem koagulācijas bioloģiskajiem marķieriem (piemēram, anti-FXa, aPTL). Pēc pārejas uz edoksabānu 4. dienā PL bija tāds pats kā rivaroksabāna un apiksabāna lietošanas 3. dienā. Dabigatrāna grupā pēc edoksabāna lietošanas, pirms tam saņemot dabigatrānu, novēroja lielāku aPTL aktivitāti nekā tad, ja lietots tikai edoksabāns. Uzskata, ka tas ir dabigatrāna terapijas paliekošās iedarbības dēļ, tomēr tas nepagarināja asiņošanas laiku. Atbilstīgi šiem datiem, pārejot no šo antikoagulantu lietošanas uz edoksabānu, edoksabāna pirmo devu var dot laikā, kad paredzēta nākamā iepriekš lietotā antikoagulanta deva (skatīt </w:t>
      </w:r>
    </w:p>
    <w:p w14:paraId="6853C878" w14:textId="77777777" w:rsidR="005B1006" w:rsidRDefault="005B1006" w:rsidP="005B1006">
      <w:pPr>
        <w:ind w:left="-10" w:right="8"/>
      </w:pPr>
      <w:r>
        <w:t xml:space="preserve">4.2. apakšpunktu). </w:t>
      </w:r>
    </w:p>
    <w:p w14:paraId="713E9D0D" w14:textId="77777777" w:rsidR="005B1006" w:rsidRDefault="005B1006" w:rsidP="005B1006">
      <w:pPr>
        <w:spacing w:after="0" w:line="259" w:lineRule="auto"/>
        <w:ind w:firstLine="0"/>
      </w:pPr>
      <w:r>
        <w:t xml:space="preserve"> </w:t>
      </w:r>
    </w:p>
    <w:p w14:paraId="0A1BE66D" w14:textId="77777777" w:rsidR="005B1006" w:rsidRDefault="005B1006" w:rsidP="005B1006">
      <w:pPr>
        <w:pStyle w:val="Heading2"/>
        <w:ind w:left="0"/>
      </w:pPr>
      <w:r>
        <w:t>Klīniskā efektivitāte un drošums</w:t>
      </w:r>
      <w:r>
        <w:rPr>
          <w:u w:val="none"/>
        </w:rPr>
        <w:t xml:space="preserve"> </w:t>
      </w:r>
    </w:p>
    <w:p w14:paraId="6B6389E2" w14:textId="77777777" w:rsidR="005B1006" w:rsidRDefault="005B1006" w:rsidP="005B1006">
      <w:pPr>
        <w:spacing w:after="51" w:line="259" w:lineRule="auto"/>
        <w:ind w:firstLine="0"/>
      </w:pPr>
      <w:r>
        <w:t xml:space="preserve"> </w:t>
      </w:r>
    </w:p>
    <w:p w14:paraId="64AD9C55" w14:textId="77777777" w:rsidR="005B1006" w:rsidRDefault="005B1006" w:rsidP="005B1006">
      <w:pPr>
        <w:pStyle w:val="Heading3"/>
        <w:spacing w:after="0"/>
        <w:ind w:left="-1"/>
      </w:pPr>
      <w:r>
        <w:t xml:space="preserve">Insulta un sistēmiskas embolijas profilakse </w:t>
      </w:r>
    </w:p>
    <w:p w14:paraId="7353652F" w14:textId="77777777" w:rsidR="005B1006" w:rsidRDefault="005B1006" w:rsidP="005B1006">
      <w:pPr>
        <w:ind w:left="-10" w:right="8"/>
      </w:pPr>
      <w:r>
        <w:t xml:space="preserve">Edoksabāna klīniskā programma priekškambaru mirgošanai bija plānota tā, lai pierādītu edoksabāna divu devu grupu efektivitāti un drošumu salīdzinājumā ar varfarīnu insulta un sistēmiskas embolijas profilaksē pacientiem ar NVPM, kam ir vidējs līdz augsts insulta un sistēmiskas embolijas notikumu (SEN) risks. </w:t>
      </w:r>
    </w:p>
    <w:p w14:paraId="615DA306" w14:textId="77777777" w:rsidR="005B1006" w:rsidRDefault="005B1006" w:rsidP="005B1006">
      <w:pPr>
        <w:spacing w:after="46" w:line="259" w:lineRule="auto"/>
        <w:ind w:firstLine="0"/>
      </w:pPr>
      <w:r>
        <w:t xml:space="preserve"> </w:t>
      </w:r>
    </w:p>
    <w:p w14:paraId="60440D32" w14:textId="77777777" w:rsidR="005B1006" w:rsidRDefault="005B1006" w:rsidP="005B1006">
      <w:pPr>
        <w:spacing w:after="33"/>
        <w:ind w:left="-10" w:right="8"/>
      </w:pPr>
      <w:r>
        <w:t xml:space="preserve">Pivotālajā pētījumā „ENGAGE AF-TIMI 48” (situatīvs, daudzcentru, nejaušināts, dubultakls, divkārtslēpts, paralēlu grupu 3. fāzes pētījums) 21 105 pacientus, kam vidējais punktu skaits pēc insulta riska – sastrēguma sirds mazspēja, hipertensija, vecums </w:t>
      </w:r>
      <w:r>
        <w:rPr>
          <w:b/>
        </w:rPr>
        <w:t>≥</w:t>
      </w:r>
      <w:r>
        <w:t xml:space="preserve"> 75 gadi, cukura diabēts, insults – novērtēšanas skalas (CHADS</w:t>
      </w:r>
      <w:r>
        <w:rPr>
          <w:vertAlign w:val="subscript"/>
        </w:rPr>
        <w:t>2</w:t>
      </w:r>
      <w:r>
        <w:t>) bija 2,8, nejaušināti iedalīja edoksabāna 30 mg vienreiz dienā terapijas grupā, edoksabāna 60 mg vienreiz dienā terapijas grupā vai varfarīna grupā. Abās edoksabāna terapijas grupās pacientiem devu samazināja uz pusi, ja viņiem bija vismaz viens no šādiem klīniskajiem faktoriem: vidēji smagi nieru darbības traucējumi (CrCl 30-50 ml/min), maza ķermeņa masa (</w:t>
      </w:r>
      <w:r>
        <w:rPr>
          <w:rFonts w:ascii="Segoe UI Symbol" w:eastAsia="Segoe UI Symbol" w:hAnsi="Segoe UI Symbol" w:cs="Segoe UI Symbol"/>
        </w:rPr>
        <w:t>≤</w:t>
      </w:r>
      <w:r>
        <w:t xml:space="preserve">60 kg) vai vienlaikus lietoti konkrēti P-gp inhibitori (verapamils, hinidīns, dronedarons). </w:t>
      </w:r>
    </w:p>
    <w:p w14:paraId="2DBB2636" w14:textId="77777777" w:rsidR="005B1006" w:rsidRDefault="005B1006" w:rsidP="005B1006">
      <w:pPr>
        <w:spacing w:after="44" w:line="259" w:lineRule="auto"/>
        <w:ind w:left="3" w:firstLine="0"/>
      </w:pPr>
      <w:r>
        <w:t xml:space="preserve"> </w:t>
      </w:r>
    </w:p>
    <w:p w14:paraId="7FB5A06F" w14:textId="77777777" w:rsidR="005B1006" w:rsidRDefault="005B1006" w:rsidP="005B1006">
      <w:pPr>
        <w:spacing w:line="320" w:lineRule="auto"/>
        <w:ind w:left="-10" w:right="8"/>
      </w:pPr>
      <w:r>
        <w:t xml:space="preserve">Primārais efektivitātes mērķa kritērijs bija saliktais kritērijs – insults un SEN. Sekundārie efektivitātes mērķa kritēriji bija: saliktais kritērijs – insults, SEN un kardiovaskulārā (KV) mirstība; nozīmīgs nevēlams kardiovaskulārs notikums (NNKN), kas ir saliktais kritērijs – neletāls miokarda infarkts (MI), neletāls insults, neletāls SEN un KV cēloņa vai asiņošanas izraisīta nāve; saliktais kritērijs – insults, SEN un jebkādas etioloģijas mirstība. </w:t>
      </w:r>
    </w:p>
    <w:p w14:paraId="75D8B2B7" w14:textId="77777777" w:rsidR="005B1006" w:rsidRDefault="005B1006" w:rsidP="005B1006">
      <w:pPr>
        <w:spacing w:after="45" w:line="259" w:lineRule="auto"/>
        <w:ind w:left="3" w:firstLine="0"/>
      </w:pPr>
      <w:r>
        <w:t xml:space="preserve"> </w:t>
      </w:r>
    </w:p>
    <w:p w14:paraId="154D0201" w14:textId="77777777" w:rsidR="005B1006" w:rsidRDefault="005B1006" w:rsidP="005B1006">
      <w:pPr>
        <w:spacing w:line="319" w:lineRule="auto"/>
        <w:ind w:left="-10" w:right="85"/>
      </w:pPr>
      <w:r>
        <w:t xml:space="preserve">Mediānais pētījuma zāļu lietošanas ilgums gan edoksabāna 60 mg, gan 30 mg terapijas grupā bija 2,5 gadi. Mediānais turpmākas novērošanas ilgums gan edoksabāna 60 mg, gan 30 mg terapijas grupā bija 2,8 gadi. Mediānais iedarbības ilgums pacientgados bija 15 471 un 15 840 attiecīgi 60 mg un 30 mg terapijas grupā; mediānais turpmākas novērošanas ilgums pacientgados bija 19 191 un 19 216 attiecīgi 60 mg un 30 mg terapijas grupā. </w:t>
      </w:r>
    </w:p>
    <w:p w14:paraId="4652AD04" w14:textId="77777777" w:rsidR="005B1006" w:rsidRDefault="005B1006" w:rsidP="005B1006">
      <w:pPr>
        <w:spacing w:after="45" w:line="259" w:lineRule="auto"/>
        <w:ind w:left="2" w:firstLine="0"/>
      </w:pPr>
      <w:r>
        <w:t xml:space="preserve"> </w:t>
      </w:r>
    </w:p>
    <w:p w14:paraId="6CC44552" w14:textId="77777777" w:rsidR="005B1006" w:rsidRDefault="005B1006" w:rsidP="005B1006">
      <w:pPr>
        <w:ind w:left="-10" w:right="8"/>
      </w:pPr>
      <w:r>
        <w:t xml:space="preserve">Varfarīna grupā mediānais LTD (laiks terapeitiskajā diapazonā, </w:t>
      </w:r>
      <w:r>
        <w:rPr>
          <w:i/>
        </w:rPr>
        <w:t>INR</w:t>
      </w:r>
      <w:r>
        <w:t xml:space="preserve"> 2,0–3,0) bija 68,4%. </w:t>
      </w:r>
    </w:p>
    <w:p w14:paraId="40A456F2" w14:textId="77777777" w:rsidR="005B1006" w:rsidRDefault="005B1006" w:rsidP="005B1006">
      <w:pPr>
        <w:spacing w:after="47" w:line="259" w:lineRule="auto"/>
        <w:ind w:left="2" w:firstLine="0"/>
      </w:pPr>
      <w:r>
        <w:t xml:space="preserve"> </w:t>
      </w:r>
    </w:p>
    <w:p w14:paraId="7BA85B00" w14:textId="77777777" w:rsidR="005B1006" w:rsidRDefault="005B1006" w:rsidP="005B1006">
      <w:pPr>
        <w:spacing w:line="320" w:lineRule="auto"/>
        <w:ind w:left="-10" w:right="8"/>
      </w:pPr>
      <w:r>
        <w:t>Galvenā efektivitātes analīze bija plānota, lai pierādītu, ka edoksabāns ir līdzvērtīgs ar varfarīnu, lietojot pirmā insulta gadījumā vai ārstēšanas laikā notikuša SEN, vai 3 dienu laikā kopš pēdējās lietotās devas modificētais nolūks ārstēt (</w:t>
      </w:r>
      <w:r>
        <w:rPr>
          <w:i/>
        </w:rPr>
        <w:t>modified intention-to-treat</w:t>
      </w:r>
      <w:r>
        <w:t xml:space="preserve"> – mITT) populācijā. Primārajā efektivitātes mērķa kritērijā, kas bija insults vai SEN (riska koeficienta (RK) 97,5% TI augšējā robeža bija zem iepriekš noteiktās ne pārākuma robežas, kas ir 1,38), edoksabāns 60 mg bija līdzvērtīgs ar varfarīnu (4. tabula). </w:t>
      </w:r>
    </w:p>
    <w:p w14:paraId="04B80E15" w14:textId="77777777" w:rsidR="005B1006" w:rsidRDefault="005B1006" w:rsidP="005B1006">
      <w:pPr>
        <w:spacing w:after="0" w:line="259" w:lineRule="auto"/>
        <w:ind w:left="1" w:firstLine="0"/>
      </w:pPr>
      <w:r>
        <w:t xml:space="preserve"> </w:t>
      </w:r>
    </w:p>
    <w:p w14:paraId="2400F181" w14:textId="77777777" w:rsidR="005B1006" w:rsidRDefault="005B1006" w:rsidP="005B1006">
      <w:pPr>
        <w:pStyle w:val="Heading4"/>
        <w:ind w:left="983" w:right="0" w:hanging="993"/>
      </w:pPr>
      <w:r>
        <w:t xml:space="preserve">4. tabula. Insulta un SEN rezultāti pētījumā „ENGAGE AF-TIMI 48” (mITT, ārstēšanas laikā) </w:t>
      </w:r>
    </w:p>
    <w:tbl>
      <w:tblPr>
        <w:tblStyle w:val="TableGrid"/>
        <w:tblW w:w="9104" w:type="dxa"/>
        <w:tblInd w:w="-83" w:type="dxa"/>
        <w:tblCellMar>
          <w:top w:w="4" w:type="dxa"/>
          <w:left w:w="56" w:type="dxa"/>
          <w:bottom w:w="0" w:type="dxa"/>
          <w:right w:w="115" w:type="dxa"/>
        </w:tblCellMar>
        <w:tblLook w:val="04A0" w:firstRow="1" w:lastRow="0" w:firstColumn="1" w:lastColumn="0" w:noHBand="0" w:noVBand="1"/>
      </w:tblPr>
      <w:tblGrid>
        <w:gridCol w:w="3629"/>
        <w:gridCol w:w="2977"/>
        <w:gridCol w:w="2498"/>
      </w:tblGrid>
      <w:tr w:rsidR="005B1006" w14:paraId="4DF38FA9" w14:textId="77777777" w:rsidTr="00A250AE">
        <w:trPr>
          <w:trHeight w:val="809"/>
        </w:trPr>
        <w:tc>
          <w:tcPr>
            <w:tcW w:w="3629"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533DAC57" w14:textId="77777777" w:rsidR="005B1006" w:rsidRDefault="005B1006" w:rsidP="00A250AE">
            <w:pPr>
              <w:spacing w:after="0" w:line="259" w:lineRule="auto"/>
              <w:ind w:left="0" w:firstLine="0"/>
            </w:pPr>
            <w:r>
              <w:rPr>
                <w:b/>
              </w:rPr>
              <w:t xml:space="preserve">Primārais mērķa kritērijs </w:t>
            </w:r>
          </w:p>
        </w:tc>
        <w:tc>
          <w:tcPr>
            <w:tcW w:w="2977" w:type="dxa"/>
            <w:tcBorders>
              <w:top w:val="single" w:sz="6" w:space="0" w:color="000000"/>
              <w:left w:val="single" w:sz="6" w:space="0" w:color="000000"/>
              <w:bottom w:val="single" w:sz="4" w:space="0" w:color="000000"/>
              <w:right w:val="single" w:sz="6" w:space="0" w:color="000000"/>
            </w:tcBorders>
            <w:shd w:val="clear" w:color="auto" w:fill="D9D9D9"/>
          </w:tcPr>
          <w:p w14:paraId="00097494" w14:textId="77777777" w:rsidR="005B1006" w:rsidRDefault="005B1006" w:rsidP="00A250AE">
            <w:pPr>
              <w:spacing w:after="0" w:line="325" w:lineRule="auto"/>
              <w:ind w:left="0" w:firstLine="0"/>
              <w:jc w:val="center"/>
            </w:pPr>
            <w:r>
              <w:rPr>
                <w:b/>
              </w:rPr>
              <w:t xml:space="preserve">Edoksabāns 60 mg (samazinātā deva 30 mg) </w:t>
            </w:r>
          </w:p>
          <w:p w14:paraId="05CA059F" w14:textId="77777777" w:rsidR="005B1006" w:rsidRDefault="005B1006" w:rsidP="00A250AE">
            <w:pPr>
              <w:spacing w:after="0" w:line="259" w:lineRule="auto"/>
              <w:ind w:left="61" w:firstLine="0"/>
              <w:jc w:val="center"/>
            </w:pPr>
            <w:r>
              <w:rPr>
                <w:b/>
              </w:rPr>
              <w:t xml:space="preserve">(N = 7012) </w:t>
            </w:r>
          </w:p>
        </w:tc>
        <w:tc>
          <w:tcPr>
            <w:tcW w:w="2498"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32464C8D" w14:textId="77777777" w:rsidR="005B1006" w:rsidRDefault="005B1006" w:rsidP="00A250AE">
            <w:pPr>
              <w:spacing w:after="0" w:line="259" w:lineRule="auto"/>
              <w:ind w:left="620" w:right="503" w:firstLine="0"/>
              <w:jc w:val="center"/>
            </w:pPr>
            <w:r>
              <w:rPr>
                <w:b/>
              </w:rPr>
              <w:t xml:space="preserve">Varfarīns (N = 7012) </w:t>
            </w:r>
          </w:p>
        </w:tc>
      </w:tr>
      <w:tr w:rsidR="005B1006" w14:paraId="409BEB06" w14:textId="77777777" w:rsidTr="00A250AE">
        <w:trPr>
          <w:trHeight w:val="301"/>
        </w:trPr>
        <w:tc>
          <w:tcPr>
            <w:tcW w:w="3629" w:type="dxa"/>
            <w:tcBorders>
              <w:top w:val="single" w:sz="4" w:space="0" w:color="000000"/>
              <w:left w:val="single" w:sz="4" w:space="0" w:color="000000"/>
              <w:bottom w:val="single" w:sz="4" w:space="0" w:color="000000"/>
              <w:right w:val="single" w:sz="4" w:space="0" w:color="000000"/>
            </w:tcBorders>
            <w:shd w:val="clear" w:color="auto" w:fill="D9D9D9"/>
          </w:tcPr>
          <w:p w14:paraId="13DB373D" w14:textId="77777777" w:rsidR="005B1006" w:rsidRDefault="005B1006" w:rsidP="00A250AE">
            <w:pPr>
              <w:spacing w:after="0" w:line="259" w:lineRule="auto"/>
              <w:ind w:left="0" w:firstLine="0"/>
            </w:pPr>
            <w:r>
              <w:rPr>
                <w:b/>
              </w:rPr>
              <w:t>Pirmais insults/SEN</w:t>
            </w:r>
            <w:r>
              <w:rPr>
                <w:vertAlign w:val="superscript"/>
              </w:rPr>
              <w:t>a</w:t>
            </w:r>
            <w:r>
              <w:rPr>
                <w:b/>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5BE2E7C4" w14:textId="77777777" w:rsidR="005B1006" w:rsidRDefault="005B1006" w:rsidP="00A250AE">
            <w:pPr>
              <w:spacing w:after="0" w:line="259" w:lineRule="auto"/>
              <w:ind w:left="115" w:firstLine="0"/>
              <w:jc w:val="center"/>
            </w:pPr>
            <w:r>
              <w:rPr>
                <w:b/>
              </w:rPr>
              <w:t xml:space="preserve"> </w:t>
            </w:r>
          </w:p>
        </w:tc>
        <w:tc>
          <w:tcPr>
            <w:tcW w:w="2498" w:type="dxa"/>
            <w:tcBorders>
              <w:top w:val="single" w:sz="4" w:space="0" w:color="000000"/>
              <w:left w:val="single" w:sz="4" w:space="0" w:color="000000"/>
              <w:bottom w:val="single" w:sz="4" w:space="0" w:color="000000"/>
              <w:right w:val="single" w:sz="4" w:space="0" w:color="000000"/>
            </w:tcBorders>
            <w:shd w:val="clear" w:color="auto" w:fill="D9D9D9"/>
          </w:tcPr>
          <w:p w14:paraId="2AE2246B" w14:textId="77777777" w:rsidR="005B1006" w:rsidRDefault="005B1006" w:rsidP="00A250AE">
            <w:pPr>
              <w:spacing w:after="0" w:line="259" w:lineRule="auto"/>
              <w:ind w:left="117" w:firstLine="0"/>
              <w:jc w:val="center"/>
            </w:pPr>
            <w:r>
              <w:rPr>
                <w:b/>
              </w:rPr>
              <w:t xml:space="preserve"> </w:t>
            </w:r>
          </w:p>
        </w:tc>
      </w:tr>
      <w:tr w:rsidR="005B1006" w14:paraId="57A8B5B8" w14:textId="77777777" w:rsidTr="00A250AE">
        <w:trPr>
          <w:trHeight w:val="308"/>
        </w:trPr>
        <w:tc>
          <w:tcPr>
            <w:tcW w:w="3629" w:type="dxa"/>
            <w:tcBorders>
              <w:top w:val="single" w:sz="4" w:space="0" w:color="000000"/>
              <w:left w:val="single" w:sz="6" w:space="0" w:color="000000"/>
              <w:bottom w:val="single" w:sz="6" w:space="0" w:color="000000"/>
              <w:right w:val="single" w:sz="6" w:space="0" w:color="000000"/>
            </w:tcBorders>
          </w:tcPr>
          <w:p w14:paraId="389409F7" w14:textId="77777777" w:rsidR="005B1006" w:rsidRDefault="005B1006" w:rsidP="00A250AE">
            <w:pPr>
              <w:spacing w:after="0" w:line="259" w:lineRule="auto"/>
              <w:ind w:left="7" w:firstLine="0"/>
            </w:pPr>
            <w:r>
              <w:t xml:space="preserve">n </w:t>
            </w:r>
          </w:p>
        </w:tc>
        <w:tc>
          <w:tcPr>
            <w:tcW w:w="2977" w:type="dxa"/>
            <w:tcBorders>
              <w:top w:val="single" w:sz="4" w:space="0" w:color="000000"/>
              <w:left w:val="single" w:sz="6" w:space="0" w:color="000000"/>
              <w:bottom w:val="single" w:sz="6" w:space="0" w:color="000000"/>
              <w:right w:val="single" w:sz="6" w:space="0" w:color="000000"/>
            </w:tcBorders>
          </w:tcPr>
          <w:p w14:paraId="224F18D5" w14:textId="77777777" w:rsidR="005B1006" w:rsidRDefault="005B1006" w:rsidP="00A250AE">
            <w:pPr>
              <w:spacing w:after="0" w:line="259" w:lineRule="auto"/>
              <w:ind w:left="60" w:firstLine="0"/>
              <w:jc w:val="center"/>
            </w:pPr>
            <w:r>
              <w:t xml:space="preserve">182 </w:t>
            </w:r>
          </w:p>
        </w:tc>
        <w:tc>
          <w:tcPr>
            <w:tcW w:w="2498" w:type="dxa"/>
            <w:tcBorders>
              <w:top w:val="single" w:sz="4" w:space="0" w:color="000000"/>
              <w:left w:val="single" w:sz="6" w:space="0" w:color="000000"/>
              <w:bottom w:val="single" w:sz="6" w:space="0" w:color="000000"/>
              <w:right w:val="single" w:sz="6" w:space="0" w:color="000000"/>
            </w:tcBorders>
          </w:tcPr>
          <w:p w14:paraId="4F785D86" w14:textId="77777777" w:rsidR="005B1006" w:rsidRDefault="005B1006" w:rsidP="00A250AE">
            <w:pPr>
              <w:spacing w:after="0" w:line="259" w:lineRule="auto"/>
              <w:ind w:left="62" w:firstLine="0"/>
              <w:jc w:val="center"/>
            </w:pPr>
            <w:r>
              <w:t xml:space="preserve">232 </w:t>
            </w:r>
          </w:p>
        </w:tc>
      </w:tr>
      <w:tr w:rsidR="005B1006" w14:paraId="1EF7544C" w14:textId="77777777" w:rsidTr="00A250AE">
        <w:trPr>
          <w:trHeight w:val="308"/>
        </w:trPr>
        <w:tc>
          <w:tcPr>
            <w:tcW w:w="3629" w:type="dxa"/>
            <w:tcBorders>
              <w:top w:val="single" w:sz="6" w:space="0" w:color="000000"/>
              <w:left w:val="single" w:sz="6" w:space="0" w:color="000000"/>
              <w:bottom w:val="single" w:sz="6" w:space="0" w:color="000000"/>
              <w:right w:val="single" w:sz="6" w:space="0" w:color="000000"/>
            </w:tcBorders>
          </w:tcPr>
          <w:p w14:paraId="7E503E17" w14:textId="77777777" w:rsidR="005B1006" w:rsidRDefault="005B1006" w:rsidP="00A250AE">
            <w:pPr>
              <w:spacing w:after="0" w:line="259" w:lineRule="auto"/>
              <w:ind w:left="0" w:firstLine="0"/>
            </w:pPr>
            <w:r>
              <w:t>Notikumu rādītājs (%/g.)</w:t>
            </w:r>
            <w:r>
              <w:rPr>
                <w:vertAlign w:val="superscript"/>
              </w:rPr>
              <w:t>b</w:t>
            </w:r>
            <w: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676AE7EC" w14:textId="77777777" w:rsidR="005B1006" w:rsidRDefault="005B1006" w:rsidP="00A250AE">
            <w:pPr>
              <w:spacing w:after="0" w:line="259" w:lineRule="auto"/>
              <w:ind w:left="60" w:firstLine="0"/>
              <w:jc w:val="center"/>
            </w:pPr>
            <w:r>
              <w:t xml:space="preserve">1,18 </w:t>
            </w:r>
          </w:p>
        </w:tc>
        <w:tc>
          <w:tcPr>
            <w:tcW w:w="2498" w:type="dxa"/>
            <w:tcBorders>
              <w:top w:val="single" w:sz="6" w:space="0" w:color="000000"/>
              <w:left w:val="single" w:sz="6" w:space="0" w:color="000000"/>
              <w:bottom w:val="single" w:sz="6" w:space="0" w:color="000000"/>
              <w:right w:val="single" w:sz="6" w:space="0" w:color="000000"/>
            </w:tcBorders>
          </w:tcPr>
          <w:p w14:paraId="0B503469" w14:textId="77777777" w:rsidR="005B1006" w:rsidRDefault="005B1006" w:rsidP="00A250AE">
            <w:pPr>
              <w:spacing w:after="0" w:line="259" w:lineRule="auto"/>
              <w:ind w:left="62" w:firstLine="0"/>
              <w:jc w:val="center"/>
            </w:pPr>
            <w:r>
              <w:t xml:space="preserve">1,50 </w:t>
            </w:r>
          </w:p>
        </w:tc>
      </w:tr>
      <w:tr w:rsidR="005B1006" w14:paraId="51EC1ED4" w14:textId="77777777" w:rsidTr="00A250AE">
        <w:trPr>
          <w:trHeight w:val="307"/>
        </w:trPr>
        <w:tc>
          <w:tcPr>
            <w:tcW w:w="3629" w:type="dxa"/>
            <w:tcBorders>
              <w:top w:val="single" w:sz="6" w:space="0" w:color="000000"/>
              <w:left w:val="single" w:sz="6" w:space="0" w:color="000000"/>
              <w:bottom w:val="single" w:sz="6" w:space="0" w:color="000000"/>
              <w:right w:val="single" w:sz="6" w:space="0" w:color="000000"/>
            </w:tcBorders>
          </w:tcPr>
          <w:p w14:paraId="1169AB46" w14:textId="77777777" w:rsidR="005B1006" w:rsidRDefault="005B1006" w:rsidP="00A250AE">
            <w:pPr>
              <w:spacing w:after="0" w:line="259" w:lineRule="auto"/>
              <w:ind w:left="0" w:firstLine="0"/>
            </w:pPr>
            <w:r>
              <w:t xml:space="preserve">RK (97,5% TI) </w:t>
            </w:r>
          </w:p>
        </w:tc>
        <w:tc>
          <w:tcPr>
            <w:tcW w:w="2977" w:type="dxa"/>
            <w:tcBorders>
              <w:top w:val="single" w:sz="6" w:space="0" w:color="000000"/>
              <w:left w:val="single" w:sz="6" w:space="0" w:color="000000"/>
              <w:bottom w:val="single" w:sz="6" w:space="0" w:color="000000"/>
              <w:right w:val="single" w:sz="6" w:space="0" w:color="000000"/>
            </w:tcBorders>
          </w:tcPr>
          <w:p w14:paraId="1DDC50BB" w14:textId="77777777" w:rsidR="005B1006" w:rsidRDefault="005B1006" w:rsidP="00A250AE">
            <w:pPr>
              <w:spacing w:after="0" w:line="259" w:lineRule="auto"/>
              <w:ind w:left="62" w:firstLine="0"/>
              <w:jc w:val="center"/>
            </w:pPr>
            <w:r>
              <w:t xml:space="preserve">0,79 (0,63, 0,99) </w:t>
            </w:r>
          </w:p>
        </w:tc>
        <w:tc>
          <w:tcPr>
            <w:tcW w:w="2498" w:type="dxa"/>
            <w:tcBorders>
              <w:top w:val="single" w:sz="6" w:space="0" w:color="000000"/>
              <w:left w:val="single" w:sz="6" w:space="0" w:color="000000"/>
              <w:bottom w:val="single" w:sz="6" w:space="0" w:color="000000"/>
              <w:right w:val="single" w:sz="6" w:space="0" w:color="000000"/>
            </w:tcBorders>
          </w:tcPr>
          <w:p w14:paraId="2811E788" w14:textId="77777777" w:rsidR="005B1006" w:rsidRDefault="005B1006" w:rsidP="00A250AE">
            <w:pPr>
              <w:spacing w:after="0" w:line="259" w:lineRule="auto"/>
              <w:ind w:left="117" w:firstLine="0"/>
              <w:jc w:val="center"/>
            </w:pPr>
            <w:r>
              <w:t xml:space="preserve"> </w:t>
            </w:r>
          </w:p>
        </w:tc>
      </w:tr>
      <w:tr w:rsidR="005B1006" w14:paraId="44AF979A" w14:textId="77777777" w:rsidTr="00A250AE">
        <w:trPr>
          <w:trHeight w:val="310"/>
        </w:trPr>
        <w:tc>
          <w:tcPr>
            <w:tcW w:w="3629" w:type="dxa"/>
            <w:tcBorders>
              <w:top w:val="single" w:sz="6" w:space="0" w:color="000000"/>
              <w:left w:val="single" w:sz="6" w:space="0" w:color="000000"/>
              <w:bottom w:val="single" w:sz="6" w:space="0" w:color="000000"/>
              <w:right w:val="single" w:sz="6" w:space="0" w:color="000000"/>
            </w:tcBorders>
          </w:tcPr>
          <w:p w14:paraId="6A677D5C" w14:textId="77777777" w:rsidR="005B1006" w:rsidRDefault="005B1006" w:rsidP="00A250AE">
            <w:pPr>
              <w:spacing w:after="0" w:line="259" w:lineRule="auto"/>
              <w:ind w:left="0" w:firstLine="0"/>
            </w:pPr>
            <w:r>
              <w:t>p vērtība</w:t>
            </w:r>
            <w:r>
              <w:rPr>
                <w:vertAlign w:val="superscript"/>
              </w:rPr>
              <w:t>c</w:t>
            </w:r>
            <w:r>
              <w:t xml:space="preserve">līdzvērtībai </w:t>
            </w:r>
          </w:p>
        </w:tc>
        <w:tc>
          <w:tcPr>
            <w:tcW w:w="2977" w:type="dxa"/>
            <w:tcBorders>
              <w:top w:val="single" w:sz="6" w:space="0" w:color="000000"/>
              <w:left w:val="single" w:sz="6" w:space="0" w:color="000000"/>
              <w:bottom w:val="single" w:sz="6" w:space="0" w:color="000000"/>
              <w:right w:val="single" w:sz="6" w:space="0" w:color="000000"/>
            </w:tcBorders>
          </w:tcPr>
          <w:p w14:paraId="1F41242A" w14:textId="77777777" w:rsidR="005B1006" w:rsidRDefault="005B1006" w:rsidP="00A250AE">
            <w:pPr>
              <w:spacing w:after="0" w:line="259" w:lineRule="auto"/>
              <w:ind w:left="61" w:firstLine="0"/>
              <w:jc w:val="center"/>
            </w:pPr>
            <w:r>
              <w:t xml:space="preserve">&lt;0,0001 </w:t>
            </w:r>
          </w:p>
        </w:tc>
        <w:tc>
          <w:tcPr>
            <w:tcW w:w="2498" w:type="dxa"/>
            <w:tcBorders>
              <w:top w:val="single" w:sz="6" w:space="0" w:color="000000"/>
              <w:left w:val="single" w:sz="6" w:space="0" w:color="000000"/>
              <w:bottom w:val="single" w:sz="6" w:space="0" w:color="000000"/>
              <w:right w:val="single" w:sz="6" w:space="0" w:color="000000"/>
            </w:tcBorders>
          </w:tcPr>
          <w:p w14:paraId="21152EC2" w14:textId="77777777" w:rsidR="005B1006" w:rsidRDefault="005B1006" w:rsidP="00A250AE">
            <w:pPr>
              <w:spacing w:after="0" w:line="259" w:lineRule="auto"/>
              <w:ind w:left="117" w:firstLine="0"/>
              <w:jc w:val="center"/>
            </w:pPr>
            <w:r>
              <w:t xml:space="preserve"> </w:t>
            </w:r>
          </w:p>
        </w:tc>
      </w:tr>
      <w:tr w:rsidR="005B1006" w14:paraId="34CE1C10" w14:textId="77777777" w:rsidTr="00A250AE">
        <w:trPr>
          <w:trHeight w:val="304"/>
        </w:trPr>
        <w:tc>
          <w:tcPr>
            <w:tcW w:w="3629" w:type="dxa"/>
            <w:tcBorders>
              <w:top w:val="single" w:sz="6" w:space="0" w:color="000000"/>
              <w:left w:val="single" w:sz="6" w:space="0" w:color="000000"/>
              <w:bottom w:val="single" w:sz="6" w:space="0" w:color="000000"/>
              <w:right w:val="single" w:sz="6" w:space="0" w:color="000000"/>
            </w:tcBorders>
            <w:shd w:val="clear" w:color="auto" w:fill="D9D9D9"/>
          </w:tcPr>
          <w:p w14:paraId="1F57C198" w14:textId="77777777" w:rsidR="005B1006" w:rsidRDefault="005B1006" w:rsidP="00A250AE">
            <w:pPr>
              <w:spacing w:after="0" w:line="259" w:lineRule="auto"/>
              <w:ind w:left="0" w:firstLine="0"/>
            </w:pPr>
            <w:r>
              <w:rPr>
                <w:b/>
              </w:rPr>
              <w:t xml:space="preserve">Pirmais išēmiskais insults </w:t>
            </w:r>
          </w:p>
        </w:tc>
        <w:tc>
          <w:tcPr>
            <w:tcW w:w="2977" w:type="dxa"/>
            <w:tcBorders>
              <w:top w:val="single" w:sz="6" w:space="0" w:color="000000"/>
              <w:left w:val="single" w:sz="6" w:space="0" w:color="000000"/>
              <w:bottom w:val="single" w:sz="6" w:space="0" w:color="000000"/>
              <w:right w:val="single" w:sz="6" w:space="0" w:color="000000"/>
            </w:tcBorders>
            <w:shd w:val="clear" w:color="auto" w:fill="D9D9D9"/>
          </w:tcPr>
          <w:p w14:paraId="04AAA51C" w14:textId="77777777" w:rsidR="005B1006" w:rsidRDefault="005B1006" w:rsidP="00A250AE">
            <w:pPr>
              <w:spacing w:after="0" w:line="259" w:lineRule="auto"/>
              <w:ind w:left="115" w:firstLine="0"/>
              <w:jc w:val="center"/>
            </w:pPr>
            <w:r>
              <w:t xml:space="preserve"> </w:t>
            </w:r>
          </w:p>
        </w:tc>
        <w:tc>
          <w:tcPr>
            <w:tcW w:w="2498" w:type="dxa"/>
            <w:tcBorders>
              <w:top w:val="single" w:sz="6" w:space="0" w:color="000000"/>
              <w:left w:val="single" w:sz="6" w:space="0" w:color="000000"/>
              <w:bottom w:val="single" w:sz="6" w:space="0" w:color="000000"/>
              <w:right w:val="single" w:sz="6" w:space="0" w:color="000000"/>
            </w:tcBorders>
            <w:shd w:val="clear" w:color="auto" w:fill="D9D9D9"/>
          </w:tcPr>
          <w:p w14:paraId="218CE230" w14:textId="77777777" w:rsidR="005B1006" w:rsidRDefault="005B1006" w:rsidP="00A250AE">
            <w:pPr>
              <w:spacing w:after="0" w:line="259" w:lineRule="auto"/>
              <w:ind w:left="117" w:firstLine="0"/>
              <w:jc w:val="center"/>
            </w:pPr>
            <w:r>
              <w:t xml:space="preserve"> </w:t>
            </w:r>
          </w:p>
        </w:tc>
      </w:tr>
      <w:tr w:rsidR="005B1006" w14:paraId="72B8D446" w14:textId="77777777" w:rsidTr="00A250AE">
        <w:trPr>
          <w:trHeight w:val="310"/>
        </w:trPr>
        <w:tc>
          <w:tcPr>
            <w:tcW w:w="3629" w:type="dxa"/>
            <w:tcBorders>
              <w:top w:val="single" w:sz="6" w:space="0" w:color="000000"/>
              <w:left w:val="single" w:sz="6" w:space="0" w:color="000000"/>
              <w:bottom w:val="single" w:sz="6" w:space="0" w:color="000000"/>
              <w:right w:val="single" w:sz="6" w:space="0" w:color="000000"/>
            </w:tcBorders>
          </w:tcPr>
          <w:p w14:paraId="6217565F" w14:textId="77777777" w:rsidR="005B1006" w:rsidRDefault="005B1006" w:rsidP="00A250AE">
            <w:pPr>
              <w:spacing w:after="0" w:line="259" w:lineRule="auto"/>
              <w:ind w:left="0" w:firstLine="0"/>
            </w:pPr>
            <w:r>
              <w:t xml:space="preserve">n </w:t>
            </w:r>
          </w:p>
        </w:tc>
        <w:tc>
          <w:tcPr>
            <w:tcW w:w="2977" w:type="dxa"/>
            <w:tcBorders>
              <w:top w:val="single" w:sz="6" w:space="0" w:color="000000"/>
              <w:left w:val="single" w:sz="6" w:space="0" w:color="000000"/>
              <w:bottom w:val="single" w:sz="6" w:space="0" w:color="000000"/>
              <w:right w:val="single" w:sz="6" w:space="0" w:color="000000"/>
            </w:tcBorders>
          </w:tcPr>
          <w:p w14:paraId="34595C12" w14:textId="77777777" w:rsidR="005B1006" w:rsidRDefault="005B1006" w:rsidP="00A250AE">
            <w:pPr>
              <w:spacing w:after="0" w:line="259" w:lineRule="auto"/>
              <w:ind w:left="60" w:firstLine="0"/>
              <w:jc w:val="center"/>
            </w:pPr>
            <w:r>
              <w:t xml:space="preserve">135 </w:t>
            </w:r>
          </w:p>
        </w:tc>
        <w:tc>
          <w:tcPr>
            <w:tcW w:w="2498" w:type="dxa"/>
            <w:tcBorders>
              <w:top w:val="single" w:sz="6" w:space="0" w:color="000000"/>
              <w:left w:val="single" w:sz="6" w:space="0" w:color="000000"/>
              <w:bottom w:val="single" w:sz="6" w:space="0" w:color="000000"/>
              <w:right w:val="single" w:sz="6" w:space="0" w:color="000000"/>
            </w:tcBorders>
          </w:tcPr>
          <w:p w14:paraId="632DE50B" w14:textId="77777777" w:rsidR="005B1006" w:rsidRDefault="005B1006" w:rsidP="00A250AE">
            <w:pPr>
              <w:spacing w:after="0" w:line="259" w:lineRule="auto"/>
              <w:ind w:left="62" w:firstLine="0"/>
              <w:jc w:val="center"/>
            </w:pPr>
            <w:r>
              <w:t xml:space="preserve">144 </w:t>
            </w:r>
          </w:p>
        </w:tc>
      </w:tr>
      <w:tr w:rsidR="005B1006" w14:paraId="5B771ED5" w14:textId="77777777" w:rsidTr="00A250AE">
        <w:trPr>
          <w:trHeight w:val="308"/>
        </w:trPr>
        <w:tc>
          <w:tcPr>
            <w:tcW w:w="3629" w:type="dxa"/>
            <w:tcBorders>
              <w:top w:val="single" w:sz="6" w:space="0" w:color="000000"/>
              <w:left w:val="single" w:sz="6" w:space="0" w:color="000000"/>
              <w:bottom w:val="single" w:sz="6" w:space="0" w:color="000000"/>
              <w:right w:val="single" w:sz="6" w:space="0" w:color="000000"/>
            </w:tcBorders>
          </w:tcPr>
          <w:p w14:paraId="37B4763E" w14:textId="77777777" w:rsidR="005B1006" w:rsidRDefault="005B1006" w:rsidP="00A250AE">
            <w:pPr>
              <w:spacing w:after="0" w:line="259" w:lineRule="auto"/>
              <w:ind w:left="0" w:firstLine="0"/>
            </w:pPr>
            <w:r>
              <w:t>Notikumu rādītājs (%/g.)</w:t>
            </w:r>
            <w:r>
              <w:rPr>
                <w:vertAlign w:val="superscript"/>
              </w:rPr>
              <w:t>b</w:t>
            </w:r>
            <w: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21290942" w14:textId="77777777" w:rsidR="005B1006" w:rsidRDefault="005B1006" w:rsidP="00A250AE">
            <w:pPr>
              <w:spacing w:after="0" w:line="259" w:lineRule="auto"/>
              <w:ind w:left="60" w:firstLine="0"/>
              <w:jc w:val="center"/>
            </w:pPr>
            <w:r>
              <w:t xml:space="preserve">0,87 </w:t>
            </w:r>
          </w:p>
        </w:tc>
        <w:tc>
          <w:tcPr>
            <w:tcW w:w="2498" w:type="dxa"/>
            <w:tcBorders>
              <w:top w:val="single" w:sz="6" w:space="0" w:color="000000"/>
              <w:left w:val="single" w:sz="6" w:space="0" w:color="000000"/>
              <w:bottom w:val="single" w:sz="6" w:space="0" w:color="000000"/>
              <w:right w:val="single" w:sz="6" w:space="0" w:color="000000"/>
            </w:tcBorders>
          </w:tcPr>
          <w:p w14:paraId="3E54EF8F" w14:textId="77777777" w:rsidR="005B1006" w:rsidRDefault="005B1006" w:rsidP="00A250AE">
            <w:pPr>
              <w:spacing w:after="0" w:line="259" w:lineRule="auto"/>
              <w:ind w:left="62" w:firstLine="0"/>
              <w:jc w:val="center"/>
            </w:pPr>
            <w:r>
              <w:t xml:space="preserve">0,93 </w:t>
            </w:r>
          </w:p>
        </w:tc>
      </w:tr>
      <w:tr w:rsidR="005B1006" w14:paraId="4C85E18A" w14:textId="77777777" w:rsidTr="00A250AE">
        <w:trPr>
          <w:trHeight w:val="309"/>
        </w:trPr>
        <w:tc>
          <w:tcPr>
            <w:tcW w:w="3629" w:type="dxa"/>
            <w:tcBorders>
              <w:top w:val="single" w:sz="6" w:space="0" w:color="000000"/>
              <w:left w:val="single" w:sz="6" w:space="0" w:color="000000"/>
              <w:bottom w:val="single" w:sz="6" w:space="0" w:color="000000"/>
              <w:right w:val="single" w:sz="6" w:space="0" w:color="000000"/>
            </w:tcBorders>
          </w:tcPr>
          <w:p w14:paraId="03E6C213" w14:textId="77777777" w:rsidR="005B1006" w:rsidRDefault="005B1006" w:rsidP="00A250AE">
            <w:pPr>
              <w:spacing w:after="0" w:line="259" w:lineRule="auto"/>
              <w:ind w:left="0" w:firstLine="0"/>
            </w:pPr>
            <w:r>
              <w:t xml:space="preserve">RK (95% TI) </w:t>
            </w:r>
          </w:p>
        </w:tc>
        <w:tc>
          <w:tcPr>
            <w:tcW w:w="2977" w:type="dxa"/>
            <w:tcBorders>
              <w:top w:val="single" w:sz="6" w:space="0" w:color="000000"/>
              <w:left w:val="single" w:sz="6" w:space="0" w:color="000000"/>
              <w:bottom w:val="single" w:sz="6" w:space="0" w:color="000000"/>
              <w:right w:val="single" w:sz="6" w:space="0" w:color="000000"/>
            </w:tcBorders>
          </w:tcPr>
          <w:p w14:paraId="46B00D92" w14:textId="77777777" w:rsidR="005B1006" w:rsidRDefault="005B1006" w:rsidP="00A250AE">
            <w:pPr>
              <w:spacing w:after="0" w:line="259" w:lineRule="auto"/>
              <w:ind w:left="62" w:firstLine="0"/>
              <w:jc w:val="center"/>
            </w:pPr>
            <w:r>
              <w:t xml:space="preserve">0,94 (0,75, 1,19) </w:t>
            </w:r>
          </w:p>
        </w:tc>
        <w:tc>
          <w:tcPr>
            <w:tcW w:w="2498" w:type="dxa"/>
            <w:tcBorders>
              <w:top w:val="single" w:sz="6" w:space="0" w:color="000000"/>
              <w:left w:val="single" w:sz="6" w:space="0" w:color="000000"/>
              <w:bottom w:val="single" w:sz="6" w:space="0" w:color="000000"/>
              <w:right w:val="single" w:sz="6" w:space="0" w:color="000000"/>
            </w:tcBorders>
          </w:tcPr>
          <w:p w14:paraId="6B057C7E" w14:textId="77777777" w:rsidR="005B1006" w:rsidRDefault="005B1006" w:rsidP="00A250AE">
            <w:pPr>
              <w:spacing w:after="0" w:line="259" w:lineRule="auto"/>
              <w:ind w:left="117" w:firstLine="0"/>
              <w:jc w:val="center"/>
            </w:pPr>
            <w:r>
              <w:t xml:space="preserve"> </w:t>
            </w:r>
          </w:p>
        </w:tc>
      </w:tr>
      <w:tr w:rsidR="005B1006" w14:paraId="5FABD6BF" w14:textId="77777777" w:rsidTr="00A250AE">
        <w:trPr>
          <w:trHeight w:val="305"/>
        </w:trPr>
        <w:tc>
          <w:tcPr>
            <w:tcW w:w="3629" w:type="dxa"/>
            <w:tcBorders>
              <w:top w:val="single" w:sz="6" w:space="0" w:color="000000"/>
              <w:left w:val="single" w:sz="6" w:space="0" w:color="000000"/>
              <w:bottom w:val="single" w:sz="6" w:space="0" w:color="000000"/>
              <w:right w:val="single" w:sz="6" w:space="0" w:color="000000"/>
            </w:tcBorders>
            <w:shd w:val="clear" w:color="auto" w:fill="D9D9D9"/>
          </w:tcPr>
          <w:p w14:paraId="472A3709" w14:textId="77777777" w:rsidR="005B1006" w:rsidRDefault="005B1006" w:rsidP="00A250AE">
            <w:pPr>
              <w:spacing w:after="0" w:line="259" w:lineRule="auto"/>
              <w:ind w:left="0" w:firstLine="0"/>
            </w:pPr>
            <w:r>
              <w:rPr>
                <w:b/>
              </w:rPr>
              <w:t xml:space="preserve">Pirmais hemorāģiskais insults </w:t>
            </w:r>
          </w:p>
        </w:tc>
        <w:tc>
          <w:tcPr>
            <w:tcW w:w="2977" w:type="dxa"/>
            <w:tcBorders>
              <w:top w:val="single" w:sz="6" w:space="0" w:color="000000"/>
              <w:left w:val="single" w:sz="6" w:space="0" w:color="000000"/>
              <w:bottom w:val="single" w:sz="6" w:space="0" w:color="000000"/>
              <w:right w:val="single" w:sz="6" w:space="0" w:color="000000"/>
            </w:tcBorders>
            <w:shd w:val="clear" w:color="auto" w:fill="D9D9D9"/>
          </w:tcPr>
          <w:p w14:paraId="398E2E2F" w14:textId="77777777" w:rsidR="005B1006" w:rsidRDefault="005B1006" w:rsidP="00A250AE">
            <w:pPr>
              <w:spacing w:after="0" w:line="259" w:lineRule="auto"/>
              <w:ind w:left="115" w:firstLine="0"/>
              <w:jc w:val="center"/>
            </w:pPr>
            <w:r>
              <w:t xml:space="preserve"> </w:t>
            </w:r>
          </w:p>
        </w:tc>
        <w:tc>
          <w:tcPr>
            <w:tcW w:w="2498" w:type="dxa"/>
            <w:tcBorders>
              <w:top w:val="single" w:sz="6" w:space="0" w:color="000000"/>
              <w:left w:val="single" w:sz="6" w:space="0" w:color="000000"/>
              <w:bottom w:val="single" w:sz="6" w:space="0" w:color="000000"/>
              <w:right w:val="single" w:sz="6" w:space="0" w:color="000000"/>
            </w:tcBorders>
            <w:shd w:val="clear" w:color="auto" w:fill="D9D9D9"/>
          </w:tcPr>
          <w:p w14:paraId="1E8E99B7" w14:textId="77777777" w:rsidR="005B1006" w:rsidRDefault="005B1006" w:rsidP="00A250AE">
            <w:pPr>
              <w:spacing w:after="0" w:line="259" w:lineRule="auto"/>
              <w:ind w:left="117" w:firstLine="0"/>
              <w:jc w:val="center"/>
            </w:pPr>
            <w:r>
              <w:t xml:space="preserve"> </w:t>
            </w:r>
          </w:p>
        </w:tc>
      </w:tr>
      <w:tr w:rsidR="005B1006" w14:paraId="0FCD0923" w14:textId="77777777" w:rsidTr="00A250AE">
        <w:trPr>
          <w:trHeight w:val="310"/>
        </w:trPr>
        <w:tc>
          <w:tcPr>
            <w:tcW w:w="3629" w:type="dxa"/>
            <w:tcBorders>
              <w:top w:val="single" w:sz="6" w:space="0" w:color="000000"/>
              <w:left w:val="single" w:sz="6" w:space="0" w:color="000000"/>
              <w:bottom w:val="single" w:sz="6" w:space="0" w:color="000000"/>
              <w:right w:val="single" w:sz="6" w:space="0" w:color="000000"/>
            </w:tcBorders>
          </w:tcPr>
          <w:p w14:paraId="5E5A5259" w14:textId="77777777" w:rsidR="005B1006" w:rsidRDefault="005B1006" w:rsidP="00A250AE">
            <w:pPr>
              <w:spacing w:after="0" w:line="259" w:lineRule="auto"/>
              <w:ind w:left="0" w:firstLine="0"/>
            </w:pPr>
            <w:r>
              <w:t xml:space="preserve">n </w:t>
            </w:r>
          </w:p>
        </w:tc>
        <w:tc>
          <w:tcPr>
            <w:tcW w:w="2977" w:type="dxa"/>
            <w:tcBorders>
              <w:top w:val="single" w:sz="6" w:space="0" w:color="000000"/>
              <w:left w:val="single" w:sz="6" w:space="0" w:color="000000"/>
              <w:bottom w:val="single" w:sz="6" w:space="0" w:color="000000"/>
              <w:right w:val="single" w:sz="6" w:space="0" w:color="000000"/>
            </w:tcBorders>
          </w:tcPr>
          <w:p w14:paraId="4A160EED" w14:textId="77777777" w:rsidR="005B1006" w:rsidRDefault="005B1006" w:rsidP="00A250AE">
            <w:pPr>
              <w:spacing w:after="0" w:line="259" w:lineRule="auto"/>
              <w:ind w:left="60" w:firstLine="0"/>
              <w:jc w:val="center"/>
            </w:pPr>
            <w:r>
              <w:t xml:space="preserve">40 </w:t>
            </w:r>
          </w:p>
        </w:tc>
        <w:tc>
          <w:tcPr>
            <w:tcW w:w="2498" w:type="dxa"/>
            <w:tcBorders>
              <w:top w:val="single" w:sz="6" w:space="0" w:color="000000"/>
              <w:left w:val="single" w:sz="6" w:space="0" w:color="000000"/>
              <w:bottom w:val="single" w:sz="6" w:space="0" w:color="000000"/>
              <w:right w:val="single" w:sz="6" w:space="0" w:color="000000"/>
            </w:tcBorders>
          </w:tcPr>
          <w:p w14:paraId="4B4777D5" w14:textId="77777777" w:rsidR="005B1006" w:rsidRDefault="005B1006" w:rsidP="00A250AE">
            <w:pPr>
              <w:spacing w:after="0" w:line="259" w:lineRule="auto"/>
              <w:ind w:left="62" w:firstLine="0"/>
              <w:jc w:val="center"/>
            </w:pPr>
            <w:r>
              <w:t xml:space="preserve">76 </w:t>
            </w:r>
          </w:p>
        </w:tc>
      </w:tr>
      <w:tr w:rsidR="005B1006" w14:paraId="798C2153" w14:textId="77777777" w:rsidTr="00A250AE">
        <w:trPr>
          <w:trHeight w:val="307"/>
        </w:trPr>
        <w:tc>
          <w:tcPr>
            <w:tcW w:w="3629" w:type="dxa"/>
            <w:tcBorders>
              <w:top w:val="single" w:sz="6" w:space="0" w:color="000000"/>
              <w:left w:val="single" w:sz="6" w:space="0" w:color="000000"/>
              <w:bottom w:val="single" w:sz="6" w:space="0" w:color="000000"/>
              <w:right w:val="single" w:sz="6" w:space="0" w:color="000000"/>
            </w:tcBorders>
          </w:tcPr>
          <w:p w14:paraId="47E446A0" w14:textId="77777777" w:rsidR="005B1006" w:rsidRDefault="005B1006" w:rsidP="00A250AE">
            <w:pPr>
              <w:spacing w:after="0" w:line="259" w:lineRule="auto"/>
              <w:ind w:left="0" w:firstLine="0"/>
            </w:pPr>
            <w:r>
              <w:t>Notikumu rādītājs (%/g.)</w:t>
            </w:r>
            <w:r>
              <w:rPr>
                <w:vertAlign w:val="superscript"/>
              </w:rPr>
              <w:t>b</w:t>
            </w:r>
            <w: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1B7649D6" w14:textId="77777777" w:rsidR="005B1006" w:rsidRDefault="005B1006" w:rsidP="00A250AE">
            <w:pPr>
              <w:spacing w:after="0" w:line="259" w:lineRule="auto"/>
              <w:ind w:left="60" w:firstLine="0"/>
              <w:jc w:val="center"/>
            </w:pPr>
            <w:r>
              <w:t xml:space="preserve">0,26 </w:t>
            </w:r>
          </w:p>
        </w:tc>
        <w:tc>
          <w:tcPr>
            <w:tcW w:w="2498" w:type="dxa"/>
            <w:tcBorders>
              <w:top w:val="single" w:sz="6" w:space="0" w:color="000000"/>
              <w:left w:val="single" w:sz="6" w:space="0" w:color="000000"/>
              <w:bottom w:val="single" w:sz="6" w:space="0" w:color="000000"/>
              <w:right w:val="single" w:sz="6" w:space="0" w:color="000000"/>
            </w:tcBorders>
          </w:tcPr>
          <w:p w14:paraId="23FB44D3" w14:textId="77777777" w:rsidR="005B1006" w:rsidRDefault="005B1006" w:rsidP="00A250AE">
            <w:pPr>
              <w:spacing w:after="0" w:line="259" w:lineRule="auto"/>
              <w:ind w:left="62" w:firstLine="0"/>
              <w:jc w:val="center"/>
            </w:pPr>
            <w:r>
              <w:t xml:space="preserve">0,49 </w:t>
            </w:r>
          </w:p>
        </w:tc>
      </w:tr>
      <w:tr w:rsidR="005B1006" w14:paraId="73146379" w14:textId="77777777" w:rsidTr="00A250AE">
        <w:trPr>
          <w:trHeight w:val="310"/>
        </w:trPr>
        <w:tc>
          <w:tcPr>
            <w:tcW w:w="3629" w:type="dxa"/>
            <w:tcBorders>
              <w:top w:val="single" w:sz="6" w:space="0" w:color="000000"/>
              <w:left w:val="single" w:sz="6" w:space="0" w:color="000000"/>
              <w:bottom w:val="single" w:sz="6" w:space="0" w:color="000000"/>
              <w:right w:val="single" w:sz="6" w:space="0" w:color="000000"/>
            </w:tcBorders>
          </w:tcPr>
          <w:p w14:paraId="0FE762B8" w14:textId="77777777" w:rsidR="005B1006" w:rsidRDefault="005B1006" w:rsidP="00A250AE">
            <w:pPr>
              <w:spacing w:after="0" w:line="259" w:lineRule="auto"/>
              <w:ind w:left="0" w:firstLine="0"/>
            </w:pPr>
            <w:r>
              <w:t xml:space="preserve">RK (95% TI) </w:t>
            </w:r>
          </w:p>
        </w:tc>
        <w:tc>
          <w:tcPr>
            <w:tcW w:w="2977" w:type="dxa"/>
            <w:tcBorders>
              <w:top w:val="single" w:sz="6" w:space="0" w:color="000000"/>
              <w:left w:val="single" w:sz="6" w:space="0" w:color="000000"/>
              <w:bottom w:val="single" w:sz="6" w:space="0" w:color="000000"/>
              <w:right w:val="single" w:sz="6" w:space="0" w:color="000000"/>
            </w:tcBorders>
          </w:tcPr>
          <w:p w14:paraId="3AC2E02C" w14:textId="77777777" w:rsidR="005B1006" w:rsidRDefault="005B1006" w:rsidP="00A250AE">
            <w:pPr>
              <w:spacing w:after="0" w:line="259" w:lineRule="auto"/>
              <w:ind w:left="62" w:firstLine="0"/>
              <w:jc w:val="center"/>
            </w:pPr>
            <w:r>
              <w:t xml:space="preserve">0,53 (0,36, 0,78) </w:t>
            </w:r>
          </w:p>
        </w:tc>
        <w:tc>
          <w:tcPr>
            <w:tcW w:w="2498" w:type="dxa"/>
            <w:tcBorders>
              <w:top w:val="single" w:sz="6" w:space="0" w:color="000000"/>
              <w:left w:val="single" w:sz="6" w:space="0" w:color="000000"/>
              <w:bottom w:val="single" w:sz="6" w:space="0" w:color="000000"/>
              <w:right w:val="single" w:sz="6" w:space="0" w:color="000000"/>
            </w:tcBorders>
          </w:tcPr>
          <w:p w14:paraId="611EBBB8" w14:textId="77777777" w:rsidR="005B1006" w:rsidRDefault="005B1006" w:rsidP="00A250AE">
            <w:pPr>
              <w:spacing w:after="0" w:line="259" w:lineRule="auto"/>
              <w:ind w:left="117" w:firstLine="0"/>
              <w:jc w:val="center"/>
            </w:pPr>
            <w:r>
              <w:t xml:space="preserve"> </w:t>
            </w:r>
          </w:p>
        </w:tc>
      </w:tr>
      <w:tr w:rsidR="005B1006" w14:paraId="081DC39A" w14:textId="77777777" w:rsidTr="00A250AE">
        <w:trPr>
          <w:trHeight w:val="305"/>
        </w:trPr>
        <w:tc>
          <w:tcPr>
            <w:tcW w:w="3629" w:type="dxa"/>
            <w:tcBorders>
              <w:top w:val="single" w:sz="6" w:space="0" w:color="000000"/>
              <w:left w:val="single" w:sz="6" w:space="0" w:color="000000"/>
              <w:bottom w:val="single" w:sz="6" w:space="0" w:color="000000"/>
              <w:right w:val="single" w:sz="6" w:space="0" w:color="000000"/>
            </w:tcBorders>
            <w:shd w:val="clear" w:color="auto" w:fill="D9D9D9"/>
          </w:tcPr>
          <w:p w14:paraId="70390CCB" w14:textId="77777777" w:rsidR="005B1006" w:rsidRDefault="005B1006" w:rsidP="00A250AE">
            <w:pPr>
              <w:spacing w:after="0" w:line="259" w:lineRule="auto"/>
              <w:ind w:left="0" w:firstLine="0"/>
            </w:pPr>
            <w:r>
              <w:rPr>
                <w:b/>
              </w:rPr>
              <w:t xml:space="preserve">Pirmais SEN  </w:t>
            </w:r>
          </w:p>
        </w:tc>
        <w:tc>
          <w:tcPr>
            <w:tcW w:w="2977" w:type="dxa"/>
            <w:tcBorders>
              <w:top w:val="single" w:sz="6" w:space="0" w:color="000000"/>
              <w:left w:val="single" w:sz="6" w:space="0" w:color="000000"/>
              <w:bottom w:val="single" w:sz="6" w:space="0" w:color="000000"/>
              <w:right w:val="single" w:sz="6" w:space="0" w:color="000000"/>
            </w:tcBorders>
            <w:shd w:val="clear" w:color="auto" w:fill="D9D9D9"/>
          </w:tcPr>
          <w:p w14:paraId="57ACC10E" w14:textId="77777777" w:rsidR="005B1006" w:rsidRDefault="005B1006" w:rsidP="00A250AE">
            <w:pPr>
              <w:spacing w:after="0" w:line="259" w:lineRule="auto"/>
              <w:ind w:left="115" w:firstLine="0"/>
              <w:jc w:val="center"/>
            </w:pPr>
            <w:r>
              <w:t xml:space="preserve"> </w:t>
            </w:r>
          </w:p>
        </w:tc>
        <w:tc>
          <w:tcPr>
            <w:tcW w:w="2498" w:type="dxa"/>
            <w:tcBorders>
              <w:top w:val="single" w:sz="6" w:space="0" w:color="000000"/>
              <w:left w:val="single" w:sz="6" w:space="0" w:color="000000"/>
              <w:bottom w:val="single" w:sz="6" w:space="0" w:color="000000"/>
              <w:right w:val="single" w:sz="6" w:space="0" w:color="000000"/>
            </w:tcBorders>
            <w:shd w:val="clear" w:color="auto" w:fill="D9D9D9"/>
          </w:tcPr>
          <w:p w14:paraId="197712ED" w14:textId="77777777" w:rsidR="005B1006" w:rsidRDefault="005B1006" w:rsidP="00A250AE">
            <w:pPr>
              <w:spacing w:after="0" w:line="259" w:lineRule="auto"/>
              <w:ind w:left="117" w:firstLine="0"/>
              <w:jc w:val="center"/>
            </w:pPr>
            <w:r>
              <w:t xml:space="preserve"> </w:t>
            </w:r>
          </w:p>
        </w:tc>
      </w:tr>
      <w:tr w:rsidR="005B1006" w14:paraId="305833AC" w14:textId="77777777" w:rsidTr="00A250AE">
        <w:trPr>
          <w:trHeight w:val="309"/>
        </w:trPr>
        <w:tc>
          <w:tcPr>
            <w:tcW w:w="3629" w:type="dxa"/>
            <w:tcBorders>
              <w:top w:val="single" w:sz="6" w:space="0" w:color="000000"/>
              <w:left w:val="single" w:sz="6" w:space="0" w:color="000000"/>
              <w:bottom w:val="single" w:sz="6" w:space="0" w:color="000000"/>
              <w:right w:val="single" w:sz="6" w:space="0" w:color="000000"/>
            </w:tcBorders>
          </w:tcPr>
          <w:p w14:paraId="78E59294" w14:textId="77777777" w:rsidR="005B1006" w:rsidRDefault="005B1006" w:rsidP="00A250AE">
            <w:pPr>
              <w:spacing w:after="0" w:line="259" w:lineRule="auto"/>
              <w:ind w:left="0" w:firstLine="0"/>
            </w:pPr>
            <w:r>
              <w:t>n (%/g.)</w:t>
            </w:r>
            <w:r>
              <w:rPr>
                <w:vertAlign w:val="superscript"/>
              </w:rPr>
              <w:t>a</w:t>
            </w:r>
            <w: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1A353B58" w14:textId="77777777" w:rsidR="005B1006" w:rsidRDefault="005B1006" w:rsidP="00A250AE">
            <w:pPr>
              <w:spacing w:after="0" w:line="259" w:lineRule="auto"/>
              <w:ind w:left="62" w:firstLine="0"/>
              <w:jc w:val="center"/>
            </w:pPr>
            <w:r>
              <w:t xml:space="preserve">8 (0,05) </w:t>
            </w:r>
          </w:p>
        </w:tc>
        <w:tc>
          <w:tcPr>
            <w:tcW w:w="2498" w:type="dxa"/>
            <w:tcBorders>
              <w:top w:val="single" w:sz="6" w:space="0" w:color="000000"/>
              <w:left w:val="single" w:sz="6" w:space="0" w:color="000000"/>
              <w:bottom w:val="single" w:sz="6" w:space="0" w:color="000000"/>
              <w:right w:val="single" w:sz="6" w:space="0" w:color="000000"/>
            </w:tcBorders>
          </w:tcPr>
          <w:p w14:paraId="073250F3" w14:textId="77777777" w:rsidR="005B1006" w:rsidRDefault="005B1006" w:rsidP="00A250AE">
            <w:pPr>
              <w:spacing w:after="0" w:line="259" w:lineRule="auto"/>
              <w:ind w:left="64" w:firstLine="0"/>
              <w:jc w:val="center"/>
            </w:pPr>
            <w:r>
              <w:t xml:space="preserve">13 (0,08) </w:t>
            </w:r>
          </w:p>
        </w:tc>
      </w:tr>
      <w:tr w:rsidR="005B1006" w14:paraId="4EFCC66A" w14:textId="77777777" w:rsidTr="00A250AE">
        <w:trPr>
          <w:trHeight w:val="307"/>
        </w:trPr>
        <w:tc>
          <w:tcPr>
            <w:tcW w:w="3629" w:type="dxa"/>
            <w:tcBorders>
              <w:top w:val="single" w:sz="6" w:space="0" w:color="000000"/>
              <w:left w:val="single" w:sz="6" w:space="0" w:color="000000"/>
              <w:bottom w:val="single" w:sz="6" w:space="0" w:color="000000"/>
              <w:right w:val="single" w:sz="6" w:space="0" w:color="000000"/>
            </w:tcBorders>
          </w:tcPr>
          <w:p w14:paraId="42C32C92" w14:textId="77777777" w:rsidR="005B1006" w:rsidRDefault="005B1006" w:rsidP="00A250AE">
            <w:pPr>
              <w:spacing w:after="0" w:line="259" w:lineRule="auto"/>
              <w:ind w:left="0" w:firstLine="0"/>
            </w:pPr>
            <w:r>
              <w:t xml:space="preserve">RK (95% TI) </w:t>
            </w:r>
          </w:p>
        </w:tc>
        <w:tc>
          <w:tcPr>
            <w:tcW w:w="2977" w:type="dxa"/>
            <w:tcBorders>
              <w:top w:val="single" w:sz="6" w:space="0" w:color="000000"/>
              <w:left w:val="single" w:sz="6" w:space="0" w:color="000000"/>
              <w:bottom w:val="single" w:sz="6" w:space="0" w:color="000000"/>
              <w:right w:val="single" w:sz="6" w:space="0" w:color="000000"/>
            </w:tcBorders>
          </w:tcPr>
          <w:p w14:paraId="5491A3C5" w14:textId="77777777" w:rsidR="005B1006" w:rsidRDefault="005B1006" w:rsidP="00A250AE">
            <w:pPr>
              <w:spacing w:after="0" w:line="259" w:lineRule="auto"/>
              <w:ind w:left="62" w:firstLine="0"/>
              <w:jc w:val="center"/>
            </w:pPr>
            <w:r>
              <w:t xml:space="preserve">0,62 (0,26, 1,50) </w:t>
            </w:r>
          </w:p>
        </w:tc>
        <w:tc>
          <w:tcPr>
            <w:tcW w:w="2498" w:type="dxa"/>
            <w:tcBorders>
              <w:top w:val="single" w:sz="6" w:space="0" w:color="000000"/>
              <w:left w:val="single" w:sz="6" w:space="0" w:color="000000"/>
              <w:bottom w:val="single" w:sz="6" w:space="0" w:color="000000"/>
              <w:right w:val="single" w:sz="6" w:space="0" w:color="000000"/>
            </w:tcBorders>
          </w:tcPr>
          <w:p w14:paraId="7244A863" w14:textId="77777777" w:rsidR="005B1006" w:rsidRDefault="005B1006" w:rsidP="00A250AE">
            <w:pPr>
              <w:spacing w:after="0" w:line="259" w:lineRule="auto"/>
              <w:ind w:left="117" w:firstLine="0"/>
              <w:jc w:val="center"/>
            </w:pPr>
            <w:r>
              <w:t xml:space="preserve"> </w:t>
            </w:r>
          </w:p>
        </w:tc>
      </w:tr>
    </w:tbl>
    <w:p w14:paraId="5254B270" w14:textId="77777777" w:rsidR="005B1006" w:rsidRDefault="005B1006" w:rsidP="005B1006">
      <w:pPr>
        <w:spacing w:line="318" w:lineRule="auto"/>
        <w:ind w:left="-10" w:right="136"/>
      </w:pPr>
      <w:r>
        <w:t xml:space="preserve">Saīsinājumi: RK = riska koeficients, salīdzinot ar varfarīnu, TI = ticamības intervāls, n = notikumu skaits, mITT = modificētais nolūks ārstēt, N = pacientu skaits mITT populācijā, SEN = sistēmiskas embolijas notikums, g. = gads. </w:t>
      </w:r>
      <w:r>
        <w:rPr>
          <w:vertAlign w:val="superscript"/>
        </w:rPr>
        <w:t>a</w:t>
      </w:r>
      <w:r>
        <w:t xml:space="preserve"> </w:t>
      </w:r>
      <w:r>
        <w:tab/>
        <w:t xml:space="preserve">Pacients var būt pieskaitīts vairākās rindās. </w:t>
      </w:r>
      <w:r>
        <w:rPr>
          <w:vertAlign w:val="superscript"/>
        </w:rPr>
        <w:t>b</w:t>
      </w:r>
      <w:r>
        <w:t xml:space="preserve"> </w:t>
      </w:r>
      <w:r>
        <w:tab/>
        <w:t xml:space="preserve">Notikumu rādītāju (%/g.) aprēķina kā notikumu skaits/iedarbības ilgums pacientgados. </w:t>
      </w:r>
      <w:r>
        <w:rPr>
          <w:vertAlign w:val="superscript"/>
        </w:rPr>
        <w:t>c</w:t>
      </w:r>
      <w:r>
        <w:t xml:space="preserve"> </w:t>
      </w:r>
      <w:r>
        <w:tab/>
        <w:t xml:space="preserve">Divpusējās p vērtības pamatā ir līdzvērtības robeža 1,38. </w:t>
      </w:r>
    </w:p>
    <w:p w14:paraId="164E5C0A" w14:textId="77777777" w:rsidR="005B1006" w:rsidRDefault="005B1006" w:rsidP="005B1006">
      <w:pPr>
        <w:spacing w:after="0" w:line="259" w:lineRule="auto"/>
        <w:ind w:firstLine="0"/>
      </w:pPr>
      <w:r>
        <w:t xml:space="preserve"> </w:t>
      </w:r>
    </w:p>
    <w:p w14:paraId="572DADF1" w14:textId="77777777" w:rsidR="005B1006" w:rsidRDefault="005B1006" w:rsidP="005B1006">
      <w:pPr>
        <w:spacing w:after="42"/>
        <w:ind w:left="-10" w:right="8"/>
      </w:pPr>
      <w:r>
        <w:t xml:space="preserve">Pētījuma kopējā ilgumā ITT populācijā (analīze iestatīta, lai noteiktu pārākumu), izskatītu insultu vai SEN novēroja 296 pacientiem edoksabāna 60 mg terapijas grupā (1,57% gadā) un 337 pacientiem varfarīna grupā (1,80% gadā). Salīdzinājumā – ar varfarīnu ārstētajiem pacientiem riska koeficients (RK) edoksabāna 60 mg terapijas grupā bijā 0,87 (99% TI: 0,71, 1,07, p = 0,08 līdzvērtīgumam). </w:t>
      </w:r>
    </w:p>
    <w:p w14:paraId="0E76ED3E" w14:textId="77777777" w:rsidR="005B1006" w:rsidRDefault="005B1006" w:rsidP="005B1006">
      <w:pPr>
        <w:spacing w:after="43" w:line="259" w:lineRule="auto"/>
        <w:ind w:left="3" w:firstLine="0"/>
      </w:pPr>
      <w:r>
        <w:t xml:space="preserve"> </w:t>
      </w:r>
    </w:p>
    <w:p w14:paraId="03780C37" w14:textId="77777777" w:rsidR="005B1006" w:rsidRDefault="005B1006" w:rsidP="005B1006">
      <w:pPr>
        <w:spacing w:after="29"/>
        <w:ind w:left="-10" w:right="8"/>
      </w:pPr>
      <w:r>
        <w:t xml:space="preserve">Atbilstīgi apakšgrupu analīžu rezultātiem pētījumā „ENGAGE AF-TIMI 48” pacientiem 60 mg terapijas grupā, kam deva bija samazināta līdz 30 mg (ķermeņa masas ≤60 kg, vidēji smagu nieru darbības traucējumu vai vienlaikus lietotu P-gp inhibitoru dēļ), notikumu rādītājs bija 2,29% gadā primārajam mērķa kritērijam, salīdzinot ar notikumu rādītāju 2,66% gadā atbilstošajiem pacientiem varfarīna grupā [RK (95% TI): 0,86 (0,66, 1,13)]. </w:t>
      </w:r>
    </w:p>
    <w:p w14:paraId="2F793F4C" w14:textId="77777777" w:rsidR="005B1006" w:rsidRDefault="005B1006" w:rsidP="005B1006">
      <w:pPr>
        <w:spacing w:after="0" w:line="259" w:lineRule="auto"/>
        <w:ind w:left="3" w:firstLine="0"/>
      </w:pPr>
      <w:r>
        <w:t xml:space="preserve"> </w:t>
      </w:r>
    </w:p>
    <w:p w14:paraId="597E0B9E" w14:textId="77777777" w:rsidR="005B1006" w:rsidRDefault="005B1006" w:rsidP="005B1006">
      <w:pPr>
        <w:ind w:left="-10" w:right="8"/>
      </w:pPr>
      <w:r>
        <w:t xml:space="preserve">Efektivitātes rezultāti iepriekš noteiktām lielākajām apakšgrupām (ja nepieciešams, ar samazinātu devu), kas iedalītas, piemēram, pēc vecuma, ķermeņa masas, dzimuma, nieru darbības stāvokļa, insulta vai TIL anamnēzē, diabēta un P-gp inhibitoru lietošanas, parasti atbilda primārajiem efektivitātes rezultātiem pētījuma kopējā populācijā. </w:t>
      </w:r>
    </w:p>
    <w:p w14:paraId="53909167" w14:textId="77777777" w:rsidR="005B1006" w:rsidRDefault="005B1006" w:rsidP="005B1006">
      <w:pPr>
        <w:spacing w:after="44" w:line="259" w:lineRule="auto"/>
        <w:ind w:left="3" w:firstLine="0"/>
      </w:pPr>
      <w:r>
        <w:t xml:space="preserve"> </w:t>
      </w:r>
    </w:p>
    <w:p w14:paraId="6C26F08F" w14:textId="77777777" w:rsidR="005B1006" w:rsidRDefault="005B1006" w:rsidP="005B1006">
      <w:pPr>
        <w:spacing w:after="44"/>
        <w:ind w:left="-10" w:right="421"/>
      </w:pPr>
      <w:r>
        <w:t xml:space="preserve">RK (edoksabāns 60 mg pret varfarīnu) primārajam mērķa kritērijam centros ar īsāko vidējo INR laiku terapeitiskajā intervālā (INR TTR) varfarīnam bija 0,73–0,80 zemākajām 3 kvartilēm (INR TTR no ≤ 57,7% līdz ≤ 73,9%). Tas bija 1,07 centros ar vislabāko varfarīna terapijas kontroli (4. kvartile ar &gt; 73,9% no INR vērtībām terapeitiskajā diapazonā). </w:t>
      </w:r>
    </w:p>
    <w:p w14:paraId="2CE79D7B" w14:textId="77777777" w:rsidR="005B1006" w:rsidRDefault="005B1006" w:rsidP="005B1006">
      <w:pPr>
        <w:spacing w:after="0" w:line="259" w:lineRule="auto"/>
        <w:ind w:left="3" w:firstLine="0"/>
      </w:pPr>
      <w:r>
        <w:t xml:space="preserve"> </w:t>
      </w:r>
    </w:p>
    <w:p w14:paraId="4C913127" w14:textId="77777777" w:rsidR="005B1006" w:rsidRDefault="005B1006" w:rsidP="005B1006">
      <w:pPr>
        <w:spacing w:after="31"/>
        <w:ind w:left="-10" w:right="8"/>
      </w:pPr>
      <w:r>
        <w:t xml:space="preserve">Edoksabāna un varfarīna ietekmes mijiedarbība uz pētījuma galveno iznākumu (insults/SEN) un nieru darbību (p vērtība 0,0042; mITT, pētījuma kopējā ilgumā) bija statistiski nozīmīga. </w:t>
      </w:r>
    </w:p>
    <w:p w14:paraId="79178B38" w14:textId="77777777" w:rsidR="005B1006" w:rsidRDefault="005B1006" w:rsidP="005B1006">
      <w:pPr>
        <w:spacing w:after="0" w:line="259" w:lineRule="auto"/>
        <w:ind w:left="2" w:firstLine="0"/>
      </w:pPr>
      <w:r>
        <w:t xml:space="preserve"> </w:t>
      </w:r>
    </w:p>
    <w:p w14:paraId="1744CC52" w14:textId="77777777" w:rsidR="005B1006" w:rsidRDefault="005B1006" w:rsidP="005B1006">
      <w:pPr>
        <w:spacing w:line="321" w:lineRule="auto"/>
        <w:ind w:left="-10" w:right="8"/>
      </w:pPr>
      <w:r>
        <w:t xml:space="preserve">5. tabulā atainoti išēmiskie insulti/SEN NVPM pacientiem atbilstoši CrCl kategorijai pētījumā „ENGAGE AF-TIMI 48”. Abās terapijas grupās jo lielāks ir CrCl, jo mazāks ir notikumu rādītājs. </w:t>
      </w:r>
    </w:p>
    <w:p w14:paraId="455F2BB2" w14:textId="77777777" w:rsidR="005B1006" w:rsidRDefault="005B1006" w:rsidP="005B1006">
      <w:pPr>
        <w:spacing w:after="54" w:line="259" w:lineRule="auto"/>
        <w:ind w:firstLine="0"/>
      </w:pPr>
      <w:r>
        <w:t xml:space="preserve"> </w:t>
      </w:r>
    </w:p>
    <w:p w14:paraId="6F1C378F" w14:textId="77777777" w:rsidR="005B1006" w:rsidRDefault="005B1006" w:rsidP="005B1006">
      <w:pPr>
        <w:pStyle w:val="Heading4"/>
        <w:ind w:left="914" w:right="0" w:hanging="924"/>
      </w:pPr>
      <w:r>
        <w:t>5. tabula. Išēmisku insultu/SEN skaits atbilstoši CrCl kategorijai ENGAGE AF-TIMI 48, mITT analīzes kopa visam pētījumam</w:t>
      </w:r>
      <w:r>
        <w:rPr>
          <w:b w:val="0"/>
        </w:rPr>
        <w:t xml:space="preserve"> </w:t>
      </w:r>
    </w:p>
    <w:tbl>
      <w:tblPr>
        <w:tblStyle w:val="TableGrid"/>
        <w:tblW w:w="9124" w:type="dxa"/>
        <w:tblInd w:w="68" w:type="dxa"/>
        <w:tblCellMar>
          <w:top w:w="0" w:type="dxa"/>
          <w:left w:w="55" w:type="dxa"/>
          <w:bottom w:w="0" w:type="dxa"/>
          <w:right w:w="15" w:type="dxa"/>
        </w:tblCellMar>
        <w:tblLook w:val="04A0" w:firstRow="1" w:lastRow="0" w:firstColumn="1" w:lastColumn="0" w:noHBand="0" w:noVBand="1"/>
      </w:tblPr>
      <w:tblGrid>
        <w:gridCol w:w="1468"/>
        <w:gridCol w:w="742"/>
        <w:gridCol w:w="1050"/>
        <w:gridCol w:w="1133"/>
        <w:gridCol w:w="730"/>
        <w:gridCol w:w="1112"/>
        <w:gridCol w:w="1134"/>
        <w:gridCol w:w="1755"/>
      </w:tblGrid>
      <w:tr w:rsidR="005B1006" w14:paraId="027A1D5E" w14:textId="77777777" w:rsidTr="00A250AE">
        <w:trPr>
          <w:trHeight w:val="569"/>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88C585F" w14:textId="77777777" w:rsidR="005B1006" w:rsidRDefault="005B1006" w:rsidP="00A250AE">
            <w:pPr>
              <w:spacing w:after="53" w:line="225" w:lineRule="auto"/>
              <w:ind w:left="0" w:firstLine="0"/>
              <w:jc w:val="center"/>
            </w:pPr>
            <w:r>
              <w:rPr>
                <w:b/>
              </w:rPr>
              <w:t xml:space="preserve">CrCl apakšgrupa </w:t>
            </w:r>
          </w:p>
          <w:p w14:paraId="2B26EBE3" w14:textId="77777777" w:rsidR="005B1006" w:rsidRDefault="005B1006" w:rsidP="00A250AE">
            <w:pPr>
              <w:spacing w:after="0" w:line="259" w:lineRule="auto"/>
              <w:ind w:left="0" w:right="44" w:firstLine="0"/>
              <w:jc w:val="center"/>
            </w:pPr>
            <w:r>
              <w:rPr>
                <w:b/>
              </w:rPr>
              <w:t xml:space="preserve">(ml/min) </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0F341FDC" w14:textId="77777777" w:rsidR="005B1006" w:rsidRDefault="005B1006" w:rsidP="00A250AE">
            <w:pPr>
              <w:spacing w:after="0" w:line="259" w:lineRule="auto"/>
              <w:ind w:left="410" w:right="397" w:firstLine="0"/>
              <w:jc w:val="center"/>
            </w:pPr>
            <w:r>
              <w:rPr>
                <w:b/>
              </w:rPr>
              <w:t xml:space="preserve">Edoksabāns 60 mg (N = 7012) </w:t>
            </w:r>
          </w:p>
        </w:tc>
        <w:tc>
          <w:tcPr>
            <w:tcW w:w="730" w:type="dxa"/>
            <w:tcBorders>
              <w:top w:val="single" w:sz="4" w:space="0" w:color="000000"/>
              <w:left w:val="single" w:sz="4" w:space="0" w:color="000000"/>
              <w:bottom w:val="single" w:sz="4" w:space="0" w:color="000000"/>
              <w:right w:val="nil"/>
            </w:tcBorders>
            <w:shd w:val="clear" w:color="auto" w:fill="D9D9D9"/>
          </w:tcPr>
          <w:p w14:paraId="5DB6FDD5" w14:textId="77777777" w:rsidR="005B1006" w:rsidRDefault="005B1006" w:rsidP="00A250AE">
            <w:pPr>
              <w:spacing w:after="160" w:line="259" w:lineRule="auto"/>
              <w:ind w:left="0" w:firstLine="0"/>
            </w:pPr>
          </w:p>
        </w:tc>
        <w:tc>
          <w:tcPr>
            <w:tcW w:w="2246" w:type="dxa"/>
            <w:gridSpan w:val="2"/>
            <w:tcBorders>
              <w:top w:val="single" w:sz="4" w:space="0" w:color="000000"/>
              <w:left w:val="nil"/>
              <w:bottom w:val="single" w:sz="4" w:space="0" w:color="000000"/>
              <w:right w:val="single" w:sz="4" w:space="0" w:color="000000"/>
            </w:tcBorders>
            <w:shd w:val="clear" w:color="auto" w:fill="D9D9D9"/>
          </w:tcPr>
          <w:p w14:paraId="5034B616" w14:textId="77777777" w:rsidR="005B1006" w:rsidRDefault="005B1006" w:rsidP="00A250AE">
            <w:pPr>
              <w:spacing w:after="0" w:line="259" w:lineRule="auto"/>
              <w:ind w:left="212" w:right="728" w:firstLine="32"/>
            </w:pPr>
            <w:r>
              <w:rPr>
                <w:b/>
              </w:rPr>
              <w:t xml:space="preserve">Varfarīns (N = 7012)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113A3E71" w14:textId="77777777" w:rsidR="005B1006" w:rsidRDefault="005B1006" w:rsidP="00A250AE">
            <w:pPr>
              <w:spacing w:after="0" w:line="259" w:lineRule="auto"/>
              <w:ind w:left="14" w:firstLine="0"/>
              <w:jc w:val="center"/>
            </w:pPr>
            <w:r>
              <w:rPr>
                <w:b/>
              </w:rPr>
              <w:t xml:space="preserve"> </w:t>
            </w:r>
          </w:p>
        </w:tc>
      </w:tr>
      <w:tr w:rsidR="005B1006" w14:paraId="6BEC4385" w14:textId="77777777" w:rsidTr="00A250AE">
        <w:trPr>
          <w:trHeight w:val="818"/>
        </w:trPr>
        <w:tc>
          <w:tcPr>
            <w:tcW w:w="0" w:type="auto"/>
            <w:vMerge/>
            <w:tcBorders>
              <w:top w:val="nil"/>
              <w:left w:val="single" w:sz="4" w:space="0" w:color="000000"/>
              <w:bottom w:val="single" w:sz="4" w:space="0" w:color="000000"/>
              <w:right w:val="single" w:sz="4" w:space="0" w:color="000000"/>
            </w:tcBorders>
          </w:tcPr>
          <w:p w14:paraId="21C547FD" w14:textId="77777777" w:rsidR="005B1006" w:rsidRDefault="005B1006" w:rsidP="00A250AE">
            <w:pPr>
              <w:spacing w:after="160" w:line="259" w:lineRule="auto"/>
              <w:ind w:left="0" w:firstLine="0"/>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14:paraId="2867682A" w14:textId="77777777" w:rsidR="005B1006" w:rsidRDefault="005B1006" w:rsidP="00A250AE">
            <w:pPr>
              <w:spacing w:after="0" w:line="259" w:lineRule="auto"/>
              <w:ind w:left="0" w:right="41" w:firstLine="0"/>
              <w:jc w:val="center"/>
            </w:pPr>
            <w:r>
              <w:rPr>
                <w:b/>
              </w:rPr>
              <w:t xml:space="preserve">n </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2213E708" w14:textId="77777777" w:rsidR="005B1006" w:rsidRDefault="005B1006" w:rsidP="00A250AE">
            <w:pPr>
              <w:spacing w:after="0" w:line="259" w:lineRule="auto"/>
              <w:ind w:left="0" w:firstLine="0"/>
              <w:jc w:val="center"/>
            </w:pPr>
            <w:r>
              <w:rPr>
                <w:b/>
                <w:sz w:val="20"/>
              </w:rPr>
              <w:t xml:space="preserve">Notikumu skaits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092D43A" w14:textId="77777777" w:rsidR="005B1006" w:rsidRDefault="005B1006" w:rsidP="00A250AE">
            <w:pPr>
              <w:spacing w:after="40" w:line="319" w:lineRule="auto"/>
              <w:ind w:left="53" w:firstLine="0"/>
            </w:pPr>
            <w:r>
              <w:rPr>
                <w:b/>
                <w:sz w:val="20"/>
              </w:rPr>
              <w:t>Notikumu rādītājs</w:t>
            </w:r>
            <w:r>
              <w:rPr>
                <w:sz w:val="20"/>
              </w:rPr>
              <w:t xml:space="preserve"> </w:t>
            </w:r>
          </w:p>
          <w:p w14:paraId="4BE4A95C" w14:textId="77777777" w:rsidR="005B1006" w:rsidRDefault="005B1006" w:rsidP="00A250AE">
            <w:pPr>
              <w:spacing w:after="0" w:line="259" w:lineRule="auto"/>
              <w:ind w:left="110" w:firstLine="0"/>
            </w:pPr>
            <w:r>
              <w:rPr>
                <w:b/>
                <w:sz w:val="20"/>
              </w:rPr>
              <w:t>(%/gadā)</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1E4204AB" w14:textId="77777777" w:rsidR="005B1006" w:rsidRDefault="005B1006" w:rsidP="00A250AE">
            <w:pPr>
              <w:spacing w:after="0" w:line="259" w:lineRule="auto"/>
              <w:ind w:left="0" w:right="42" w:firstLine="0"/>
              <w:jc w:val="center"/>
            </w:pPr>
            <w:r>
              <w:rPr>
                <w:b/>
                <w:sz w:val="20"/>
              </w:rPr>
              <w:t xml:space="preserve">n </w:t>
            </w:r>
          </w:p>
        </w:tc>
        <w:tc>
          <w:tcPr>
            <w:tcW w:w="1112" w:type="dxa"/>
            <w:tcBorders>
              <w:top w:val="single" w:sz="4" w:space="0" w:color="000000"/>
              <w:left w:val="single" w:sz="4" w:space="0" w:color="000000"/>
              <w:bottom w:val="single" w:sz="4" w:space="0" w:color="000000"/>
              <w:right w:val="single" w:sz="4" w:space="0" w:color="000000"/>
            </w:tcBorders>
            <w:shd w:val="clear" w:color="auto" w:fill="D9D9D9"/>
          </w:tcPr>
          <w:p w14:paraId="65B9CA38" w14:textId="77777777" w:rsidR="005B1006" w:rsidRDefault="005B1006" w:rsidP="00A250AE">
            <w:pPr>
              <w:spacing w:after="0" w:line="259" w:lineRule="auto"/>
              <w:ind w:left="0" w:firstLine="0"/>
              <w:jc w:val="center"/>
            </w:pPr>
            <w:r>
              <w:rPr>
                <w:b/>
                <w:sz w:val="20"/>
              </w:rPr>
              <w:t xml:space="preserve">Notikumu skaits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38FA5BB" w14:textId="77777777" w:rsidR="005B1006" w:rsidRDefault="005B1006" w:rsidP="00A250AE">
            <w:pPr>
              <w:spacing w:after="61" w:line="292" w:lineRule="auto"/>
              <w:ind w:left="0" w:firstLine="0"/>
              <w:jc w:val="center"/>
            </w:pPr>
            <w:r>
              <w:rPr>
                <w:b/>
                <w:sz w:val="20"/>
              </w:rPr>
              <w:t xml:space="preserve">Notikumu </w:t>
            </w:r>
            <w:r>
              <w:rPr>
                <w:sz w:val="20"/>
              </w:rPr>
              <w:t>rādītājs</w:t>
            </w:r>
            <w:r>
              <w:rPr>
                <w:b/>
                <w:sz w:val="20"/>
              </w:rPr>
              <w:t xml:space="preserve"> </w:t>
            </w:r>
          </w:p>
          <w:p w14:paraId="58D5B32D" w14:textId="77777777" w:rsidR="005B1006" w:rsidRDefault="005B1006" w:rsidP="00A250AE">
            <w:pPr>
              <w:spacing w:after="0" w:line="259" w:lineRule="auto"/>
              <w:ind w:left="112" w:firstLine="0"/>
            </w:pPr>
            <w:r>
              <w:rPr>
                <w:b/>
                <w:sz w:val="20"/>
              </w:rPr>
              <w:t xml:space="preserve">(%/gadā)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1947A0B0" w14:textId="77777777" w:rsidR="005B1006" w:rsidRDefault="005B1006" w:rsidP="00A250AE">
            <w:pPr>
              <w:spacing w:after="0" w:line="259" w:lineRule="auto"/>
              <w:ind w:left="0" w:right="40" w:firstLine="0"/>
              <w:jc w:val="center"/>
            </w:pPr>
            <w:r>
              <w:rPr>
                <w:b/>
              </w:rPr>
              <w:t xml:space="preserve">HR (95% TI) </w:t>
            </w:r>
          </w:p>
        </w:tc>
      </w:tr>
      <w:tr w:rsidR="005B1006" w14:paraId="66B0C691" w14:textId="77777777" w:rsidTr="00A250AE">
        <w:trPr>
          <w:trHeight w:val="305"/>
        </w:trPr>
        <w:tc>
          <w:tcPr>
            <w:tcW w:w="1469" w:type="dxa"/>
            <w:tcBorders>
              <w:top w:val="single" w:sz="4" w:space="0" w:color="000000"/>
              <w:left w:val="single" w:sz="4" w:space="0" w:color="000000"/>
              <w:bottom w:val="single" w:sz="4" w:space="0" w:color="000000"/>
              <w:right w:val="single" w:sz="4" w:space="0" w:color="000000"/>
            </w:tcBorders>
          </w:tcPr>
          <w:p w14:paraId="61E73F5F" w14:textId="77777777" w:rsidR="005B1006" w:rsidRDefault="005B1006" w:rsidP="00A250AE">
            <w:pPr>
              <w:spacing w:after="0" w:line="259" w:lineRule="auto"/>
              <w:ind w:left="0" w:firstLine="0"/>
            </w:pPr>
            <w:r>
              <w:t xml:space="preserve">≥ 30 līdz ≤ 50 </w:t>
            </w:r>
          </w:p>
        </w:tc>
        <w:tc>
          <w:tcPr>
            <w:tcW w:w="742" w:type="dxa"/>
            <w:tcBorders>
              <w:top w:val="single" w:sz="4" w:space="0" w:color="000000"/>
              <w:left w:val="single" w:sz="4" w:space="0" w:color="000000"/>
              <w:bottom w:val="single" w:sz="4" w:space="0" w:color="000000"/>
              <w:right w:val="single" w:sz="4" w:space="0" w:color="000000"/>
            </w:tcBorders>
          </w:tcPr>
          <w:p w14:paraId="7F771BAA" w14:textId="77777777" w:rsidR="005B1006" w:rsidRDefault="005B1006" w:rsidP="00A250AE">
            <w:pPr>
              <w:spacing w:after="0" w:line="259" w:lineRule="auto"/>
              <w:ind w:left="95" w:firstLine="0"/>
            </w:pPr>
            <w:r>
              <w:t xml:space="preserve">1302 </w:t>
            </w:r>
          </w:p>
        </w:tc>
        <w:tc>
          <w:tcPr>
            <w:tcW w:w="1050" w:type="dxa"/>
            <w:tcBorders>
              <w:top w:val="single" w:sz="4" w:space="0" w:color="000000"/>
              <w:left w:val="single" w:sz="4" w:space="0" w:color="000000"/>
              <w:bottom w:val="single" w:sz="4" w:space="0" w:color="000000"/>
              <w:right w:val="single" w:sz="4" w:space="0" w:color="000000"/>
            </w:tcBorders>
          </w:tcPr>
          <w:p w14:paraId="176D4824" w14:textId="77777777" w:rsidR="005B1006" w:rsidRDefault="005B1006" w:rsidP="00A250AE">
            <w:pPr>
              <w:spacing w:after="0" w:line="259" w:lineRule="auto"/>
              <w:ind w:left="0" w:right="40" w:firstLine="0"/>
              <w:jc w:val="center"/>
            </w:pPr>
            <w:r>
              <w:t xml:space="preserve">63 </w:t>
            </w:r>
          </w:p>
        </w:tc>
        <w:tc>
          <w:tcPr>
            <w:tcW w:w="1133" w:type="dxa"/>
            <w:tcBorders>
              <w:top w:val="single" w:sz="4" w:space="0" w:color="000000"/>
              <w:left w:val="single" w:sz="4" w:space="0" w:color="000000"/>
              <w:bottom w:val="single" w:sz="4" w:space="0" w:color="000000"/>
              <w:right w:val="single" w:sz="4" w:space="0" w:color="000000"/>
            </w:tcBorders>
          </w:tcPr>
          <w:p w14:paraId="56753876" w14:textId="77777777" w:rsidR="005B1006" w:rsidRDefault="005B1006" w:rsidP="00A250AE">
            <w:pPr>
              <w:spacing w:after="0" w:line="259" w:lineRule="auto"/>
              <w:ind w:left="0" w:right="41" w:firstLine="0"/>
              <w:jc w:val="center"/>
            </w:pPr>
            <w:r>
              <w:t xml:space="preserve">1,89 </w:t>
            </w:r>
          </w:p>
        </w:tc>
        <w:tc>
          <w:tcPr>
            <w:tcW w:w="730" w:type="dxa"/>
            <w:tcBorders>
              <w:top w:val="single" w:sz="4" w:space="0" w:color="000000"/>
              <w:left w:val="single" w:sz="4" w:space="0" w:color="000000"/>
              <w:bottom w:val="single" w:sz="4" w:space="0" w:color="000000"/>
              <w:right w:val="single" w:sz="4" w:space="0" w:color="000000"/>
            </w:tcBorders>
          </w:tcPr>
          <w:p w14:paraId="6A03E739" w14:textId="77777777" w:rsidR="005B1006" w:rsidRDefault="005B1006" w:rsidP="00A250AE">
            <w:pPr>
              <w:spacing w:after="0" w:line="259" w:lineRule="auto"/>
              <w:ind w:left="89" w:firstLine="0"/>
            </w:pPr>
            <w:r>
              <w:t xml:space="preserve">1305 </w:t>
            </w:r>
          </w:p>
        </w:tc>
        <w:tc>
          <w:tcPr>
            <w:tcW w:w="1112" w:type="dxa"/>
            <w:tcBorders>
              <w:top w:val="single" w:sz="4" w:space="0" w:color="000000"/>
              <w:left w:val="single" w:sz="4" w:space="0" w:color="000000"/>
              <w:bottom w:val="single" w:sz="4" w:space="0" w:color="000000"/>
              <w:right w:val="single" w:sz="4" w:space="0" w:color="000000"/>
            </w:tcBorders>
          </w:tcPr>
          <w:p w14:paraId="32CA662D" w14:textId="77777777" w:rsidR="005B1006" w:rsidRDefault="005B1006" w:rsidP="00A250AE">
            <w:pPr>
              <w:spacing w:after="0" w:line="259" w:lineRule="auto"/>
              <w:ind w:left="0" w:right="42" w:firstLine="0"/>
              <w:jc w:val="center"/>
            </w:pPr>
            <w:r>
              <w:t xml:space="preserve">67 </w:t>
            </w:r>
          </w:p>
        </w:tc>
        <w:tc>
          <w:tcPr>
            <w:tcW w:w="1134" w:type="dxa"/>
            <w:tcBorders>
              <w:top w:val="single" w:sz="4" w:space="0" w:color="000000"/>
              <w:left w:val="single" w:sz="4" w:space="0" w:color="000000"/>
              <w:bottom w:val="single" w:sz="4" w:space="0" w:color="000000"/>
              <w:right w:val="single" w:sz="4" w:space="0" w:color="000000"/>
            </w:tcBorders>
          </w:tcPr>
          <w:p w14:paraId="19BE987A" w14:textId="77777777" w:rsidR="005B1006" w:rsidRDefault="005B1006" w:rsidP="00A250AE">
            <w:pPr>
              <w:spacing w:after="0" w:line="259" w:lineRule="auto"/>
              <w:ind w:left="0" w:right="40" w:firstLine="0"/>
              <w:jc w:val="center"/>
            </w:pPr>
            <w:r>
              <w:t xml:space="preserve">2,05 </w:t>
            </w:r>
          </w:p>
        </w:tc>
        <w:tc>
          <w:tcPr>
            <w:tcW w:w="1755" w:type="dxa"/>
            <w:tcBorders>
              <w:top w:val="single" w:sz="4" w:space="0" w:color="000000"/>
              <w:left w:val="single" w:sz="4" w:space="0" w:color="000000"/>
              <w:bottom w:val="single" w:sz="4" w:space="0" w:color="000000"/>
              <w:right w:val="single" w:sz="4" w:space="0" w:color="000000"/>
            </w:tcBorders>
          </w:tcPr>
          <w:p w14:paraId="3FEC48C7" w14:textId="77777777" w:rsidR="005B1006" w:rsidRDefault="005B1006" w:rsidP="00A250AE">
            <w:pPr>
              <w:spacing w:after="0" w:line="259" w:lineRule="auto"/>
              <w:ind w:left="86" w:firstLine="0"/>
            </w:pPr>
            <w:r>
              <w:t xml:space="preserve">0,93 (0,66; 1,31) </w:t>
            </w:r>
          </w:p>
        </w:tc>
      </w:tr>
      <w:tr w:rsidR="005B1006" w14:paraId="75A53406"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26BEA56F" w14:textId="77777777" w:rsidR="005B1006" w:rsidRDefault="005B1006" w:rsidP="00A250AE">
            <w:pPr>
              <w:spacing w:after="0" w:line="259" w:lineRule="auto"/>
              <w:ind w:left="0" w:firstLine="0"/>
            </w:pPr>
            <w:r>
              <w:t xml:space="preserve">&gt; 50 līdz ≤ 70 </w:t>
            </w:r>
          </w:p>
        </w:tc>
        <w:tc>
          <w:tcPr>
            <w:tcW w:w="742" w:type="dxa"/>
            <w:tcBorders>
              <w:top w:val="single" w:sz="4" w:space="0" w:color="000000"/>
              <w:left w:val="single" w:sz="4" w:space="0" w:color="000000"/>
              <w:bottom w:val="single" w:sz="4" w:space="0" w:color="000000"/>
              <w:right w:val="single" w:sz="4" w:space="0" w:color="000000"/>
            </w:tcBorders>
          </w:tcPr>
          <w:p w14:paraId="7ADD575B" w14:textId="77777777" w:rsidR="005B1006" w:rsidRDefault="005B1006" w:rsidP="00A250AE">
            <w:pPr>
              <w:spacing w:after="0" w:line="259" w:lineRule="auto"/>
              <w:ind w:left="95" w:firstLine="0"/>
            </w:pPr>
            <w:r>
              <w:t xml:space="preserve">2093 </w:t>
            </w:r>
          </w:p>
        </w:tc>
        <w:tc>
          <w:tcPr>
            <w:tcW w:w="1050" w:type="dxa"/>
            <w:tcBorders>
              <w:top w:val="single" w:sz="4" w:space="0" w:color="000000"/>
              <w:left w:val="single" w:sz="4" w:space="0" w:color="000000"/>
              <w:bottom w:val="single" w:sz="4" w:space="0" w:color="000000"/>
              <w:right w:val="single" w:sz="4" w:space="0" w:color="000000"/>
            </w:tcBorders>
          </w:tcPr>
          <w:p w14:paraId="186D3B91" w14:textId="77777777" w:rsidR="005B1006" w:rsidRDefault="005B1006" w:rsidP="00A250AE">
            <w:pPr>
              <w:spacing w:after="0" w:line="259" w:lineRule="auto"/>
              <w:ind w:left="0" w:right="40" w:firstLine="0"/>
              <w:jc w:val="center"/>
            </w:pPr>
            <w:r>
              <w:t xml:space="preserve">85 </w:t>
            </w:r>
          </w:p>
        </w:tc>
        <w:tc>
          <w:tcPr>
            <w:tcW w:w="1133" w:type="dxa"/>
            <w:tcBorders>
              <w:top w:val="single" w:sz="4" w:space="0" w:color="000000"/>
              <w:left w:val="single" w:sz="4" w:space="0" w:color="000000"/>
              <w:bottom w:val="single" w:sz="4" w:space="0" w:color="000000"/>
              <w:right w:val="single" w:sz="4" w:space="0" w:color="000000"/>
            </w:tcBorders>
          </w:tcPr>
          <w:p w14:paraId="3192E6BE" w14:textId="77777777" w:rsidR="005B1006" w:rsidRDefault="005B1006" w:rsidP="00A250AE">
            <w:pPr>
              <w:spacing w:after="0" w:line="259" w:lineRule="auto"/>
              <w:ind w:left="0" w:right="41" w:firstLine="0"/>
              <w:jc w:val="center"/>
            </w:pPr>
            <w:r>
              <w:t xml:space="preserve">1,51 </w:t>
            </w:r>
          </w:p>
        </w:tc>
        <w:tc>
          <w:tcPr>
            <w:tcW w:w="730" w:type="dxa"/>
            <w:tcBorders>
              <w:top w:val="single" w:sz="4" w:space="0" w:color="000000"/>
              <w:left w:val="single" w:sz="4" w:space="0" w:color="000000"/>
              <w:bottom w:val="single" w:sz="4" w:space="0" w:color="000000"/>
              <w:right w:val="single" w:sz="4" w:space="0" w:color="000000"/>
            </w:tcBorders>
          </w:tcPr>
          <w:p w14:paraId="6BAAE249" w14:textId="77777777" w:rsidR="005B1006" w:rsidRDefault="005B1006" w:rsidP="00A250AE">
            <w:pPr>
              <w:spacing w:after="0" w:line="259" w:lineRule="auto"/>
              <w:ind w:left="89" w:firstLine="0"/>
            </w:pPr>
            <w:r>
              <w:t xml:space="preserve">2106 </w:t>
            </w:r>
          </w:p>
        </w:tc>
        <w:tc>
          <w:tcPr>
            <w:tcW w:w="1112" w:type="dxa"/>
            <w:tcBorders>
              <w:top w:val="single" w:sz="4" w:space="0" w:color="000000"/>
              <w:left w:val="single" w:sz="4" w:space="0" w:color="000000"/>
              <w:bottom w:val="single" w:sz="4" w:space="0" w:color="000000"/>
              <w:right w:val="single" w:sz="4" w:space="0" w:color="000000"/>
            </w:tcBorders>
          </w:tcPr>
          <w:p w14:paraId="15B7ED81" w14:textId="77777777" w:rsidR="005B1006" w:rsidRDefault="005B1006" w:rsidP="00A250AE">
            <w:pPr>
              <w:spacing w:after="0" w:line="259" w:lineRule="auto"/>
              <w:ind w:left="0" w:right="42" w:firstLine="0"/>
              <w:jc w:val="center"/>
            </w:pPr>
            <w:r>
              <w:t xml:space="preserve">95 </w:t>
            </w:r>
          </w:p>
        </w:tc>
        <w:tc>
          <w:tcPr>
            <w:tcW w:w="1134" w:type="dxa"/>
            <w:tcBorders>
              <w:top w:val="single" w:sz="4" w:space="0" w:color="000000"/>
              <w:left w:val="single" w:sz="4" w:space="0" w:color="000000"/>
              <w:bottom w:val="single" w:sz="4" w:space="0" w:color="000000"/>
              <w:right w:val="single" w:sz="4" w:space="0" w:color="000000"/>
            </w:tcBorders>
          </w:tcPr>
          <w:p w14:paraId="4C1F1F64" w14:textId="77777777" w:rsidR="005B1006" w:rsidRDefault="005B1006" w:rsidP="00A250AE">
            <w:pPr>
              <w:spacing w:after="0" w:line="259" w:lineRule="auto"/>
              <w:ind w:left="0" w:right="40" w:firstLine="0"/>
              <w:jc w:val="center"/>
            </w:pPr>
            <w:r>
              <w:t xml:space="preserve">1,70 </w:t>
            </w:r>
          </w:p>
        </w:tc>
        <w:tc>
          <w:tcPr>
            <w:tcW w:w="1755" w:type="dxa"/>
            <w:tcBorders>
              <w:top w:val="single" w:sz="4" w:space="0" w:color="000000"/>
              <w:left w:val="single" w:sz="4" w:space="0" w:color="000000"/>
              <w:bottom w:val="single" w:sz="4" w:space="0" w:color="000000"/>
              <w:right w:val="single" w:sz="4" w:space="0" w:color="000000"/>
            </w:tcBorders>
          </w:tcPr>
          <w:p w14:paraId="61041BA3" w14:textId="77777777" w:rsidR="005B1006" w:rsidRDefault="005B1006" w:rsidP="00A250AE">
            <w:pPr>
              <w:spacing w:after="0" w:line="259" w:lineRule="auto"/>
              <w:ind w:left="86" w:firstLine="0"/>
            </w:pPr>
            <w:r>
              <w:t xml:space="preserve">0,88 (0,66; 1,18) </w:t>
            </w:r>
          </w:p>
        </w:tc>
      </w:tr>
      <w:tr w:rsidR="005B1006" w14:paraId="5D7B4185"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5DC9B507" w14:textId="77777777" w:rsidR="005B1006" w:rsidRDefault="005B1006" w:rsidP="00A250AE">
            <w:pPr>
              <w:spacing w:after="0" w:line="259" w:lineRule="auto"/>
              <w:ind w:left="0" w:firstLine="0"/>
            </w:pPr>
            <w:r>
              <w:t xml:space="preserve">&gt; 70 līdz ≤ 90 </w:t>
            </w:r>
          </w:p>
        </w:tc>
        <w:tc>
          <w:tcPr>
            <w:tcW w:w="742" w:type="dxa"/>
            <w:tcBorders>
              <w:top w:val="single" w:sz="4" w:space="0" w:color="000000"/>
              <w:left w:val="single" w:sz="4" w:space="0" w:color="000000"/>
              <w:bottom w:val="single" w:sz="4" w:space="0" w:color="000000"/>
              <w:right w:val="single" w:sz="4" w:space="0" w:color="000000"/>
            </w:tcBorders>
          </w:tcPr>
          <w:p w14:paraId="1E32A849" w14:textId="77777777" w:rsidR="005B1006" w:rsidRDefault="005B1006" w:rsidP="00A250AE">
            <w:pPr>
              <w:spacing w:after="0" w:line="259" w:lineRule="auto"/>
              <w:ind w:left="95" w:firstLine="0"/>
            </w:pPr>
            <w:r>
              <w:t xml:space="preserve">1661 </w:t>
            </w:r>
          </w:p>
        </w:tc>
        <w:tc>
          <w:tcPr>
            <w:tcW w:w="1050" w:type="dxa"/>
            <w:tcBorders>
              <w:top w:val="single" w:sz="4" w:space="0" w:color="000000"/>
              <w:left w:val="single" w:sz="4" w:space="0" w:color="000000"/>
              <w:bottom w:val="single" w:sz="4" w:space="0" w:color="000000"/>
              <w:right w:val="single" w:sz="4" w:space="0" w:color="000000"/>
            </w:tcBorders>
          </w:tcPr>
          <w:p w14:paraId="186EAAB9" w14:textId="77777777" w:rsidR="005B1006" w:rsidRDefault="005B1006" w:rsidP="00A250AE">
            <w:pPr>
              <w:spacing w:after="0" w:line="259" w:lineRule="auto"/>
              <w:ind w:left="0" w:right="40" w:firstLine="0"/>
              <w:jc w:val="center"/>
            </w:pPr>
            <w:r>
              <w:t xml:space="preserve">45 </w:t>
            </w:r>
          </w:p>
        </w:tc>
        <w:tc>
          <w:tcPr>
            <w:tcW w:w="1133" w:type="dxa"/>
            <w:tcBorders>
              <w:top w:val="single" w:sz="4" w:space="0" w:color="000000"/>
              <w:left w:val="single" w:sz="4" w:space="0" w:color="000000"/>
              <w:bottom w:val="single" w:sz="4" w:space="0" w:color="000000"/>
              <w:right w:val="single" w:sz="4" w:space="0" w:color="000000"/>
            </w:tcBorders>
          </w:tcPr>
          <w:p w14:paraId="68984981" w14:textId="77777777" w:rsidR="005B1006" w:rsidRDefault="005B1006" w:rsidP="00A250AE">
            <w:pPr>
              <w:spacing w:after="0" w:line="259" w:lineRule="auto"/>
              <w:ind w:left="0" w:right="41" w:firstLine="0"/>
              <w:jc w:val="center"/>
            </w:pPr>
            <w:r>
              <w:t xml:space="preserve">0,99 </w:t>
            </w:r>
          </w:p>
        </w:tc>
        <w:tc>
          <w:tcPr>
            <w:tcW w:w="730" w:type="dxa"/>
            <w:tcBorders>
              <w:top w:val="single" w:sz="4" w:space="0" w:color="000000"/>
              <w:left w:val="single" w:sz="4" w:space="0" w:color="000000"/>
              <w:bottom w:val="single" w:sz="4" w:space="0" w:color="000000"/>
              <w:right w:val="single" w:sz="4" w:space="0" w:color="000000"/>
            </w:tcBorders>
          </w:tcPr>
          <w:p w14:paraId="3548D2F3" w14:textId="77777777" w:rsidR="005B1006" w:rsidRDefault="005B1006" w:rsidP="00A250AE">
            <w:pPr>
              <w:spacing w:after="0" w:line="259" w:lineRule="auto"/>
              <w:ind w:left="89" w:firstLine="0"/>
            </w:pPr>
            <w:r>
              <w:t xml:space="preserve">1703 </w:t>
            </w:r>
          </w:p>
        </w:tc>
        <w:tc>
          <w:tcPr>
            <w:tcW w:w="1112" w:type="dxa"/>
            <w:tcBorders>
              <w:top w:val="single" w:sz="4" w:space="0" w:color="000000"/>
              <w:left w:val="single" w:sz="4" w:space="0" w:color="000000"/>
              <w:bottom w:val="single" w:sz="4" w:space="0" w:color="000000"/>
              <w:right w:val="single" w:sz="4" w:space="0" w:color="000000"/>
            </w:tcBorders>
          </w:tcPr>
          <w:p w14:paraId="45D17C22" w14:textId="77777777" w:rsidR="005B1006" w:rsidRDefault="005B1006" w:rsidP="00A250AE">
            <w:pPr>
              <w:spacing w:after="0" w:line="259" w:lineRule="auto"/>
              <w:ind w:left="0" w:right="42" w:firstLine="0"/>
              <w:jc w:val="center"/>
            </w:pPr>
            <w:r>
              <w:t xml:space="preserve">50 </w:t>
            </w:r>
          </w:p>
        </w:tc>
        <w:tc>
          <w:tcPr>
            <w:tcW w:w="1134" w:type="dxa"/>
            <w:tcBorders>
              <w:top w:val="single" w:sz="4" w:space="0" w:color="000000"/>
              <w:left w:val="single" w:sz="4" w:space="0" w:color="000000"/>
              <w:bottom w:val="single" w:sz="4" w:space="0" w:color="000000"/>
              <w:right w:val="single" w:sz="4" w:space="0" w:color="000000"/>
            </w:tcBorders>
          </w:tcPr>
          <w:p w14:paraId="1094059D" w14:textId="77777777" w:rsidR="005B1006" w:rsidRDefault="005B1006" w:rsidP="00A250AE">
            <w:pPr>
              <w:spacing w:after="0" w:line="259" w:lineRule="auto"/>
              <w:ind w:left="0" w:right="40" w:firstLine="0"/>
              <w:jc w:val="center"/>
            </w:pPr>
            <w:r>
              <w:t xml:space="preserve">1,08 </w:t>
            </w:r>
          </w:p>
        </w:tc>
        <w:tc>
          <w:tcPr>
            <w:tcW w:w="1755" w:type="dxa"/>
            <w:tcBorders>
              <w:top w:val="single" w:sz="4" w:space="0" w:color="000000"/>
              <w:left w:val="single" w:sz="4" w:space="0" w:color="000000"/>
              <w:bottom w:val="single" w:sz="4" w:space="0" w:color="000000"/>
              <w:right w:val="single" w:sz="4" w:space="0" w:color="000000"/>
            </w:tcBorders>
          </w:tcPr>
          <w:p w14:paraId="19A802AC" w14:textId="77777777" w:rsidR="005B1006" w:rsidRDefault="005B1006" w:rsidP="00A250AE">
            <w:pPr>
              <w:spacing w:after="0" w:line="259" w:lineRule="auto"/>
              <w:ind w:left="86" w:firstLine="0"/>
            </w:pPr>
            <w:r>
              <w:t xml:space="preserve">0,92 (0,61; 1,37) </w:t>
            </w:r>
          </w:p>
        </w:tc>
      </w:tr>
      <w:tr w:rsidR="005B1006" w14:paraId="4E9D35CA"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5C8D7EA1" w14:textId="77777777" w:rsidR="005B1006" w:rsidRDefault="005B1006" w:rsidP="00A250AE">
            <w:pPr>
              <w:spacing w:after="0" w:line="259" w:lineRule="auto"/>
              <w:ind w:left="0" w:firstLine="0"/>
              <w:jc w:val="both"/>
            </w:pPr>
            <w:r>
              <w:t xml:space="preserve">&gt; 90 līdz ≤ 110 </w:t>
            </w:r>
          </w:p>
        </w:tc>
        <w:tc>
          <w:tcPr>
            <w:tcW w:w="742" w:type="dxa"/>
            <w:tcBorders>
              <w:top w:val="single" w:sz="4" w:space="0" w:color="000000"/>
              <w:left w:val="single" w:sz="4" w:space="0" w:color="000000"/>
              <w:bottom w:val="single" w:sz="4" w:space="0" w:color="000000"/>
              <w:right w:val="single" w:sz="4" w:space="0" w:color="000000"/>
            </w:tcBorders>
          </w:tcPr>
          <w:p w14:paraId="3B3FD53C" w14:textId="77777777" w:rsidR="005B1006" w:rsidRDefault="005B1006" w:rsidP="00A250AE">
            <w:pPr>
              <w:spacing w:after="0" w:line="259" w:lineRule="auto"/>
              <w:ind w:left="0" w:right="41" w:firstLine="0"/>
              <w:jc w:val="center"/>
            </w:pPr>
            <w:r>
              <w:t xml:space="preserve">927 </w:t>
            </w:r>
          </w:p>
        </w:tc>
        <w:tc>
          <w:tcPr>
            <w:tcW w:w="1050" w:type="dxa"/>
            <w:tcBorders>
              <w:top w:val="single" w:sz="4" w:space="0" w:color="000000"/>
              <w:left w:val="single" w:sz="4" w:space="0" w:color="000000"/>
              <w:bottom w:val="single" w:sz="4" w:space="0" w:color="000000"/>
              <w:right w:val="single" w:sz="4" w:space="0" w:color="000000"/>
            </w:tcBorders>
          </w:tcPr>
          <w:p w14:paraId="1AE4241C" w14:textId="77777777" w:rsidR="005B1006" w:rsidRDefault="005B1006" w:rsidP="00A250AE">
            <w:pPr>
              <w:spacing w:after="0" w:line="259" w:lineRule="auto"/>
              <w:ind w:left="0" w:right="40" w:firstLine="0"/>
              <w:jc w:val="center"/>
            </w:pPr>
            <w:r>
              <w:t xml:space="preserve">27 </w:t>
            </w:r>
          </w:p>
        </w:tc>
        <w:tc>
          <w:tcPr>
            <w:tcW w:w="1133" w:type="dxa"/>
            <w:tcBorders>
              <w:top w:val="single" w:sz="4" w:space="0" w:color="000000"/>
              <w:left w:val="single" w:sz="4" w:space="0" w:color="000000"/>
              <w:bottom w:val="single" w:sz="4" w:space="0" w:color="000000"/>
              <w:right w:val="single" w:sz="4" w:space="0" w:color="000000"/>
            </w:tcBorders>
          </w:tcPr>
          <w:p w14:paraId="3D49FA53" w14:textId="77777777" w:rsidR="005B1006" w:rsidRDefault="005B1006" w:rsidP="00A250AE">
            <w:pPr>
              <w:spacing w:after="0" w:line="259" w:lineRule="auto"/>
              <w:ind w:left="0" w:right="41" w:firstLine="0"/>
              <w:jc w:val="center"/>
            </w:pPr>
            <w:r>
              <w:t xml:space="preserve">1,08 </w:t>
            </w:r>
          </w:p>
        </w:tc>
        <w:tc>
          <w:tcPr>
            <w:tcW w:w="730" w:type="dxa"/>
            <w:tcBorders>
              <w:top w:val="single" w:sz="4" w:space="0" w:color="000000"/>
              <w:left w:val="single" w:sz="4" w:space="0" w:color="000000"/>
              <w:bottom w:val="single" w:sz="4" w:space="0" w:color="000000"/>
              <w:right w:val="single" w:sz="4" w:space="0" w:color="000000"/>
            </w:tcBorders>
          </w:tcPr>
          <w:p w14:paraId="5A1505D0" w14:textId="77777777" w:rsidR="005B1006" w:rsidRDefault="005B1006" w:rsidP="00A250AE">
            <w:pPr>
              <w:spacing w:after="0" w:line="259" w:lineRule="auto"/>
              <w:ind w:left="0" w:right="41" w:firstLine="0"/>
              <w:jc w:val="center"/>
            </w:pPr>
            <w:r>
              <w:t xml:space="preserve">960 </w:t>
            </w:r>
          </w:p>
        </w:tc>
        <w:tc>
          <w:tcPr>
            <w:tcW w:w="1112" w:type="dxa"/>
            <w:tcBorders>
              <w:top w:val="single" w:sz="4" w:space="0" w:color="000000"/>
              <w:left w:val="single" w:sz="4" w:space="0" w:color="000000"/>
              <w:bottom w:val="single" w:sz="4" w:space="0" w:color="000000"/>
              <w:right w:val="single" w:sz="4" w:space="0" w:color="000000"/>
            </w:tcBorders>
          </w:tcPr>
          <w:p w14:paraId="738CD739" w14:textId="77777777" w:rsidR="005B1006" w:rsidRDefault="005B1006" w:rsidP="00A250AE">
            <w:pPr>
              <w:spacing w:after="0" w:line="259" w:lineRule="auto"/>
              <w:ind w:left="0" w:right="42" w:firstLine="0"/>
              <w:jc w:val="center"/>
            </w:pPr>
            <w:r>
              <w:t xml:space="preserve">26 </w:t>
            </w:r>
          </w:p>
        </w:tc>
        <w:tc>
          <w:tcPr>
            <w:tcW w:w="1134" w:type="dxa"/>
            <w:tcBorders>
              <w:top w:val="single" w:sz="4" w:space="0" w:color="000000"/>
              <w:left w:val="single" w:sz="4" w:space="0" w:color="000000"/>
              <w:bottom w:val="single" w:sz="4" w:space="0" w:color="000000"/>
              <w:right w:val="single" w:sz="4" w:space="0" w:color="000000"/>
            </w:tcBorders>
          </w:tcPr>
          <w:p w14:paraId="7D299DAA" w14:textId="77777777" w:rsidR="005B1006" w:rsidRDefault="005B1006" w:rsidP="00A250AE">
            <w:pPr>
              <w:spacing w:after="0" w:line="259" w:lineRule="auto"/>
              <w:ind w:left="0" w:right="40" w:firstLine="0"/>
              <w:jc w:val="center"/>
            </w:pPr>
            <w:r>
              <w:t xml:space="preserve">0,98 </w:t>
            </w:r>
          </w:p>
        </w:tc>
        <w:tc>
          <w:tcPr>
            <w:tcW w:w="1755" w:type="dxa"/>
            <w:tcBorders>
              <w:top w:val="single" w:sz="4" w:space="0" w:color="000000"/>
              <w:left w:val="single" w:sz="4" w:space="0" w:color="000000"/>
              <w:bottom w:val="single" w:sz="4" w:space="0" w:color="000000"/>
              <w:right w:val="single" w:sz="4" w:space="0" w:color="000000"/>
            </w:tcBorders>
          </w:tcPr>
          <w:p w14:paraId="40927B9E" w14:textId="77777777" w:rsidR="005B1006" w:rsidRDefault="005B1006" w:rsidP="00A250AE">
            <w:pPr>
              <w:spacing w:after="0" w:line="259" w:lineRule="auto"/>
              <w:ind w:left="86" w:firstLine="0"/>
            </w:pPr>
            <w:r>
              <w:t xml:space="preserve">1,10 (0,64; 1,89) </w:t>
            </w:r>
          </w:p>
        </w:tc>
      </w:tr>
      <w:tr w:rsidR="005B1006" w14:paraId="09315859" w14:textId="77777777" w:rsidTr="00A250AE">
        <w:trPr>
          <w:trHeight w:val="557"/>
        </w:trPr>
        <w:tc>
          <w:tcPr>
            <w:tcW w:w="1469" w:type="dxa"/>
            <w:tcBorders>
              <w:top w:val="single" w:sz="4" w:space="0" w:color="000000"/>
              <w:left w:val="single" w:sz="4" w:space="0" w:color="000000"/>
              <w:bottom w:val="single" w:sz="4" w:space="0" w:color="000000"/>
              <w:right w:val="single" w:sz="4" w:space="0" w:color="000000"/>
            </w:tcBorders>
          </w:tcPr>
          <w:p w14:paraId="0025549D" w14:textId="77777777" w:rsidR="005B1006" w:rsidRDefault="005B1006" w:rsidP="00A250AE">
            <w:pPr>
              <w:spacing w:after="8" w:line="259" w:lineRule="auto"/>
              <w:ind w:left="0" w:firstLine="0"/>
            </w:pPr>
            <w:r>
              <w:t xml:space="preserve">&gt; 110 līdz </w:t>
            </w:r>
          </w:p>
          <w:p w14:paraId="332BB06D" w14:textId="77777777" w:rsidR="005B1006" w:rsidRDefault="005B1006" w:rsidP="00A250AE">
            <w:pPr>
              <w:spacing w:after="0" w:line="259" w:lineRule="auto"/>
              <w:ind w:left="0" w:firstLine="0"/>
            </w:pPr>
            <w:r>
              <w:t xml:space="preserve">≤ 130 </w:t>
            </w:r>
          </w:p>
        </w:tc>
        <w:tc>
          <w:tcPr>
            <w:tcW w:w="742" w:type="dxa"/>
            <w:tcBorders>
              <w:top w:val="single" w:sz="4" w:space="0" w:color="000000"/>
              <w:left w:val="single" w:sz="4" w:space="0" w:color="000000"/>
              <w:bottom w:val="single" w:sz="4" w:space="0" w:color="000000"/>
              <w:right w:val="single" w:sz="4" w:space="0" w:color="000000"/>
            </w:tcBorders>
          </w:tcPr>
          <w:p w14:paraId="2E1C1194" w14:textId="77777777" w:rsidR="005B1006" w:rsidRDefault="005B1006" w:rsidP="00A250AE">
            <w:pPr>
              <w:spacing w:after="0" w:line="259" w:lineRule="auto"/>
              <w:ind w:left="0" w:right="41" w:firstLine="0"/>
              <w:jc w:val="center"/>
            </w:pPr>
            <w:r>
              <w:t xml:space="preserve">497 </w:t>
            </w:r>
          </w:p>
        </w:tc>
        <w:tc>
          <w:tcPr>
            <w:tcW w:w="1050" w:type="dxa"/>
            <w:tcBorders>
              <w:top w:val="single" w:sz="4" w:space="0" w:color="000000"/>
              <w:left w:val="single" w:sz="4" w:space="0" w:color="000000"/>
              <w:bottom w:val="single" w:sz="4" w:space="0" w:color="000000"/>
              <w:right w:val="single" w:sz="4" w:space="0" w:color="000000"/>
            </w:tcBorders>
          </w:tcPr>
          <w:p w14:paraId="05DB23AD" w14:textId="77777777" w:rsidR="005B1006" w:rsidRDefault="005B1006" w:rsidP="00A250AE">
            <w:pPr>
              <w:spacing w:after="0" w:line="259" w:lineRule="auto"/>
              <w:ind w:left="0" w:right="40" w:firstLine="0"/>
              <w:jc w:val="center"/>
            </w:pPr>
            <w:r>
              <w:t xml:space="preserve">14 </w:t>
            </w:r>
          </w:p>
        </w:tc>
        <w:tc>
          <w:tcPr>
            <w:tcW w:w="1133" w:type="dxa"/>
            <w:tcBorders>
              <w:top w:val="single" w:sz="4" w:space="0" w:color="000000"/>
              <w:left w:val="single" w:sz="4" w:space="0" w:color="000000"/>
              <w:bottom w:val="single" w:sz="4" w:space="0" w:color="000000"/>
              <w:right w:val="single" w:sz="4" w:space="0" w:color="000000"/>
            </w:tcBorders>
          </w:tcPr>
          <w:p w14:paraId="42F44D35" w14:textId="77777777" w:rsidR="005B1006" w:rsidRDefault="005B1006" w:rsidP="00A250AE">
            <w:pPr>
              <w:spacing w:after="0" w:line="259" w:lineRule="auto"/>
              <w:ind w:left="0" w:right="41" w:firstLine="0"/>
              <w:jc w:val="center"/>
            </w:pPr>
            <w:r>
              <w:t xml:space="preserve">1,01 </w:t>
            </w:r>
          </w:p>
        </w:tc>
        <w:tc>
          <w:tcPr>
            <w:tcW w:w="730" w:type="dxa"/>
            <w:tcBorders>
              <w:top w:val="single" w:sz="4" w:space="0" w:color="000000"/>
              <w:left w:val="single" w:sz="4" w:space="0" w:color="000000"/>
              <w:bottom w:val="single" w:sz="4" w:space="0" w:color="000000"/>
              <w:right w:val="single" w:sz="4" w:space="0" w:color="000000"/>
            </w:tcBorders>
          </w:tcPr>
          <w:p w14:paraId="3142CE49" w14:textId="77777777" w:rsidR="005B1006" w:rsidRDefault="005B1006" w:rsidP="00A250AE">
            <w:pPr>
              <w:spacing w:after="0" w:line="259" w:lineRule="auto"/>
              <w:ind w:left="0" w:right="41" w:firstLine="0"/>
              <w:jc w:val="center"/>
            </w:pPr>
            <w:r>
              <w:t xml:space="preserve">469 </w:t>
            </w:r>
          </w:p>
        </w:tc>
        <w:tc>
          <w:tcPr>
            <w:tcW w:w="1112" w:type="dxa"/>
            <w:tcBorders>
              <w:top w:val="single" w:sz="4" w:space="0" w:color="000000"/>
              <w:left w:val="single" w:sz="4" w:space="0" w:color="000000"/>
              <w:bottom w:val="single" w:sz="4" w:space="0" w:color="000000"/>
              <w:right w:val="single" w:sz="4" w:space="0" w:color="000000"/>
            </w:tcBorders>
          </w:tcPr>
          <w:p w14:paraId="6AF08CCD" w14:textId="77777777" w:rsidR="005B1006" w:rsidRDefault="005B1006" w:rsidP="00A250AE">
            <w:pPr>
              <w:spacing w:after="0" w:line="259" w:lineRule="auto"/>
              <w:ind w:left="0" w:right="42" w:firstLine="0"/>
              <w:jc w:val="center"/>
            </w:pPr>
            <w: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29567CD9" w14:textId="77777777" w:rsidR="005B1006" w:rsidRDefault="005B1006" w:rsidP="00A250AE">
            <w:pPr>
              <w:spacing w:after="0" w:line="259" w:lineRule="auto"/>
              <w:ind w:left="0" w:right="40" w:firstLine="0"/>
              <w:jc w:val="center"/>
            </w:pPr>
            <w:r>
              <w:t xml:space="preserve">0,78 </w:t>
            </w:r>
          </w:p>
        </w:tc>
        <w:tc>
          <w:tcPr>
            <w:tcW w:w="1755" w:type="dxa"/>
            <w:tcBorders>
              <w:top w:val="single" w:sz="4" w:space="0" w:color="000000"/>
              <w:left w:val="single" w:sz="4" w:space="0" w:color="000000"/>
              <w:bottom w:val="single" w:sz="4" w:space="0" w:color="000000"/>
              <w:right w:val="single" w:sz="4" w:space="0" w:color="000000"/>
            </w:tcBorders>
          </w:tcPr>
          <w:p w14:paraId="76006BB8" w14:textId="77777777" w:rsidR="005B1006" w:rsidRDefault="005B1006" w:rsidP="00A250AE">
            <w:pPr>
              <w:spacing w:after="0" w:line="259" w:lineRule="auto"/>
              <w:ind w:left="86" w:firstLine="0"/>
            </w:pPr>
            <w:r>
              <w:t xml:space="preserve">1,27 (0,57; 2,85) </w:t>
            </w:r>
          </w:p>
        </w:tc>
      </w:tr>
      <w:tr w:rsidR="005B1006" w14:paraId="16FF2D79"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45171464" w14:textId="77777777" w:rsidR="005B1006" w:rsidRDefault="005B1006" w:rsidP="00A250AE">
            <w:pPr>
              <w:spacing w:after="0" w:line="259" w:lineRule="auto"/>
              <w:ind w:left="0" w:firstLine="0"/>
            </w:pPr>
            <w:r>
              <w:t xml:space="preserve">&gt; 130 </w:t>
            </w:r>
          </w:p>
        </w:tc>
        <w:tc>
          <w:tcPr>
            <w:tcW w:w="742" w:type="dxa"/>
            <w:tcBorders>
              <w:top w:val="single" w:sz="4" w:space="0" w:color="000000"/>
              <w:left w:val="single" w:sz="4" w:space="0" w:color="000000"/>
              <w:bottom w:val="single" w:sz="4" w:space="0" w:color="000000"/>
              <w:right w:val="single" w:sz="4" w:space="0" w:color="000000"/>
            </w:tcBorders>
          </w:tcPr>
          <w:p w14:paraId="217613CD" w14:textId="77777777" w:rsidR="005B1006" w:rsidRDefault="005B1006" w:rsidP="00A250AE">
            <w:pPr>
              <w:spacing w:after="0" w:line="259" w:lineRule="auto"/>
              <w:ind w:left="0" w:right="41" w:firstLine="0"/>
              <w:jc w:val="center"/>
            </w:pPr>
            <w:r>
              <w:t xml:space="preserve">462 </w:t>
            </w:r>
          </w:p>
        </w:tc>
        <w:tc>
          <w:tcPr>
            <w:tcW w:w="1050" w:type="dxa"/>
            <w:tcBorders>
              <w:top w:val="single" w:sz="4" w:space="0" w:color="000000"/>
              <w:left w:val="single" w:sz="4" w:space="0" w:color="000000"/>
              <w:bottom w:val="single" w:sz="4" w:space="0" w:color="000000"/>
              <w:right w:val="single" w:sz="4" w:space="0" w:color="000000"/>
            </w:tcBorders>
          </w:tcPr>
          <w:p w14:paraId="49E26049" w14:textId="77777777" w:rsidR="005B1006" w:rsidRDefault="005B1006" w:rsidP="00A250AE">
            <w:pPr>
              <w:spacing w:after="0" w:line="259" w:lineRule="auto"/>
              <w:ind w:left="0" w:right="40" w:firstLine="0"/>
              <w:jc w:val="center"/>
            </w:pPr>
            <w:r>
              <w:t xml:space="preserve">10 </w:t>
            </w:r>
          </w:p>
        </w:tc>
        <w:tc>
          <w:tcPr>
            <w:tcW w:w="1133" w:type="dxa"/>
            <w:tcBorders>
              <w:top w:val="single" w:sz="4" w:space="0" w:color="000000"/>
              <w:left w:val="single" w:sz="4" w:space="0" w:color="000000"/>
              <w:bottom w:val="single" w:sz="4" w:space="0" w:color="000000"/>
              <w:right w:val="single" w:sz="4" w:space="0" w:color="000000"/>
            </w:tcBorders>
          </w:tcPr>
          <w:p w14:paraId="0C94AEEF" w14:textId="77777777" w:rsidR="005B1006" w:rsidRDefault="005B1006" w:rsidP="00A250AE">
            <w:pPr>
              <w:spacing w:after="0" w:line="259" w:lineRule="auto"/>
              <w:ind w:left="0" w:right="41" w:firstLine="0"/>
              <w:jc w:val="center"/>
            </w:pPr>
            <w:r>
              <w:t xml:space="preserve">0,78 </w:t>
            </w:r>
          </w:p>
        </w:tc>
        <w:tc>
          <w:tcPr>
            <w:tcW w:w="730" w:type="dxa"/>
            <w:tcBorders>
              <w:top w:val="single" w:sz="4" w:space="0" w:color="000000"/>
              <w:left w:val="single" w:sz="4" w:space="0" w:color="000000"/>
              <w:bottom w:val="single" w:sz="4" w:space="0" w:color="000000"/>
              <w:right w:val="single" w:sz="4" w:space="0" w:color="000000"/>
            </w:tcBorders>
          </w:tcPr>
          <w:p w14:paraId="3F07B535" w14:textId="77777777" w:rsidR="005B1006" w:rsidRDefault="005B1006" w:rsidP="00A250AE">
            <w:pPr>
              <w:spacing w:after="0" w:line="259" w:lineRule="auto"/>
              <w:ind w:left="0" w:right="41" w:firstLine="0"/>
              <w:jc w:val="center"/>
            </w:pPr>
            <w:r>
              <w:t xml:space="preserve">418 </w:t>
            </w:r>
          </w:p>
        </w:tc>
        <w:tc>
          <w:tcPr>
            <w:tcW w:w="1112" w:type="dxa"/>
            <w:tcBorders>
              <w:top w:val="single" w:sz="4" w:space="0" w:color="000000"/>
              <w:left w:val="single" w:sz="4" w:space="0" w:color="000000"/>
              <w:bottom w:val="single" w:sz="4" w:space="0" w:color="000000"/>
              <w:right w:val="single" w:sz="4" w:space="0" w:color="000000"/>
            </w:tcBorders>
          </w:tcPr>
          <w:p w14:paraId="25BF7671" w14:textId="77777777" w:rsidR="005B1006" w:rsidRDefault="005B1006" w:rsidP="00A250AE">
            <w:pPr>
              <w:spacing w:after="0" w:line="259" w:lineRule="auto"/>
              <w:ind w:left="0" w:right="42" w:firstLine="0"/>
              <w:jc w:val="center"/>
            </w:pPr>
            <w: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3D2F8BC4" w14:textId="77777777" w:rsidR="005B1006" w:rsidRDefault="005B1006" w:rsidP="00A250AE">
            <w:pPr>
              <w:spacing w:after="0" w:line="259" w:lineRule="auto"/>
              <w:ind w:left="0" w:right="40" w:firstLine="0"/>
              <w:jc w:val="center"/>
            </w:pPr>
            <w:r>
              <w:t xml:space="preserve">0,25 </w:t>
            </w:r>
          </w:p>
        </w:tc>
        <w:tc>
          <w:tcPr>
            <w:tcW w:w="1755" w:type="dxa"/>
            <w:tcBorders>
              <w:top w:val="single" w:sz="4" w:space="0" w:color="000000"/>
              <w:left w:val="single" w:sz="4" w:space="0" w:color="000000"/>
              <w:bottom w:val="single" w:sz="4" w:space="0" w:color="000000"/>
              <w:right w:val="single" w:sz="4" w:space="0" w:color="000000"/>
            </w:tcBorders>
          </w:tcPr>
          <w:p w14:paraId="6411B950" w14:textId="77777777" w:rsidR="005B1006" w:rsidRDefault="005B1006" w:rsidP="00A250AE">
            <w:pPr>
              <w:spacing w:after="0" w:line="259" w:lineRule="auto"/>
              <w:ind w:left="0" w:right="41" w:firstLine="0"/>
              <w:jc w:val="center"/>
            </w:pPr>
            <w:r>
              <w:t>--</w:t>
            </w:r>
            <w:r>
              <w:rPr>
                <w:vertAlign w:val="superscript"/>
              </w:rPr>
              <w:t>*</w:t>
            </w:r>
            <w:r>
              <w:t xml:space="preserve"> </w:t>
            </w:r>
          </w:p>
        </w:tc>
      </w:tr>
    </w:tbl>
    <w:p w14:paraId="568034A7" w14:textId="77777777" w:rsidR="005B1006" w:rsidRDefault="005B1006" w:rsidP="005B1006">
      <w:pPr>
        <w:spacing w:after="42"/>
        <w:ind w:left="-10" w:right="8"/>
      </w:pPr>
      <w:r>
        <w:t xml:space="preserve">Saīsinājumi: CrCl = kreatinīna klīrenss, N = pacientu skaits mITT populācijā pētījuma kopējā ilgumā, mITT = modificētais nolūks ārstēt, n = pacientu skaits apakšgrupā, RK = riska koeficients, salīdzinot ar varfarīnu, TI = ticamības intervāls. </w:t>
      </w:r>
    </w:p>
    <w:p w14:paraId="0F70BF44" w14:textId="77777777" w:rsidR="005B1006" w:rsidRDefault="005B1006" w:rsidP="005B1006">
      <w:pPr>
        <w:ind w:left="-10" w:right="8"/>
      </w:pPr>
      <w:r>
        <w:t xml:space="preserve">* RK nav aprēķināts, ja notikumu skaits ir &lt; 5 vienā terapijas grupā. </w:t>
      </w:r>
    </w:p>
    <w:p w14:paraId="736649F3" w14:textId="77777777" w:rsidR="005B1006" w:rsidRDefault="005B1006" w:rsidP="005B1006">
      <w:pPr>
        <w:spacing w:after="46" w:line="259" w:lineRule="auto"/>
        <w:ind w:left="3" w:firstLine="0"/>
      </w:pPr>
      <w:r>
        <w:t xml:space="preserve"> </w:t>
      </w:r>
    </w:p>
    <w:p w14:paraId="362FDC99" w14:textId="77777777" w:rsidR="005B1006" w:rsidRDefault="005B1006" w:rsidP="005B1006">
      <w:pPr>
        <w:spacing w:line="321" w:lineRule="auto"/>
        <w:ind w:left="-10" w:right="8"/>
      </w:pPr>
      <w:r>
        <w:t xml:space="preserve">Nieru darbības apakšgrupās sekundāro efektivitātes mērķa kritēriju rezultāti atbilda primāro efektivitātes mērķa kritēriju rezultātiem. </w:t>
      </w:r>
    </w:p>
    <w:p w14:paraId="652EB405" w14:textId="77777777" w:rsidR="005B1006" w:rsidRDefault="005B1006" w:rsidP="005B1006">
      <w:pPr>
        <w:spacing w:after="46" w:line="259" w:lineRule="auto"/>
        <w:ind w:left="3" w:firstLine="0"/>
      </w:pPr>
      <w:r>
        <w:t xml:space="preserve"> </w:t>
      </w:r>
    </w:p>
    <w:p w14:paraId="4BBD06DF" w14:textId="77777777" w:rsidR="005B1006" w:rsidRDefault="005B1006" w:rsidP="005B1006">
      <w:pPr>
        <w:spacing w:line="319" w:lineRule="auto"/>
        <w:ind w:left="-10" w:right="8"/>
      </w:pPr>
      <w:r>
        <w:t xml:space="preserve">Pārākuma pārbaudes veica par </w:t>
      </w:r>
      <w:r>
        <w:rPr>
          <w:i/>
        </w:rPr>
        <w:t>ITT</w:t>
      </w:r>
      <w:r>
        <w:t xml:space="preserve"> (</w:t>
      </w:r>
      <w:r>
        <w:rPr>
          <w:i/>
        </w:rPr>
        <w:t>intention to treat</w:t>
      </w:r>
      <w:r>
        <w:t xml:space="preserve"> – sākotnēji nozīmēto ārstēšanu) pētījuma kopējā ilgumā. </w:t>
      </w:r>
    </w:p>
    <w:p w14:paraId="2DBD77CC" w14:textId="77777777" w:rsidR="005B1006" w:rsidRDefault="005B1006" w:rsidP="005B1006">
      <w:pPr>
        <w:spacing w:line="319" w:lineRule="auto"/>
        <w:ind w:left="-10" w:right="8"/>
      </w:pPr>
      <w:r>
        <w:t xml:space="preserve">Insultu un SEN novēroja mazākam skaitam pacientu edoksabāna 60 mg terapijas grupā nekā varfarīna grupā (attiecīgi 1,57% un 1,80% gadā), RK 0,87 (99% TI: 0,71, 1,07, p = 0,0807 pārākumam). </w:t>
      </w:r>
    </w:p>
    <w:p w14:paraId="58A99E55" w14:textId="77777777" w:rsidR="005B1006" w:rsidRDefault="005B1006" w:rsidP="005B1006">
      <w:pPr>
        <w:spacing w:after="47" w:line="259" w:lineRule="auto"/>
        <w:ind w:left="3" w:firstLine="0"/>
      </w:pPr>
      <w:r>
        <w:t xml:space="preserve"> </w:t>
      </w:r>
    </w:p>
    <w:p w14:paraId="7E2BF8D1" w14:textId="77777777" w:rsidR="005B1006" w:rsidRDefault="005B1006" w:rsidP="005B1006">
      <w:pPr>
        <w:spacing w:line="318" w:lineRule="auto"/>
        <w:ind w:left="-10" w:right="8"/>
      </w:pPr>
      <w:r>
        <w:t xml:space="preserve">Iepriekš noteikto salikto mērķa kritēriju edoksabāna 60 mg terapijas grupas salīdzināšanai ar varfarīna grupu – insulta, SEN un KV mirstības RK (99% TI) bija 0,87 (0,76, 0,99), NNKN – 0,89 (0,78, 1,00), bet insulta, SEN un jebkādas etioloģijas mirstības – 0,90 (0,80, 1,01). </w:t>
      </w:r>
    </w:p>
    <w:p w14:paraId="77F5773D" w14:textId="77777777" w:rsidR="005B1006" w:rsidRDefault="005B1006" w:rsidP="005B1006">
      <w:pPr>
        <w:spacing w:after="46" w:line="259" w:lineRule="auto"/>
        <w:ind w:left="2" w:firstLine="0"/>
      </w:pPr>
      <w:r>
        <w:t xml:space="preserve"> </w:t>
      </w:r>
    </w:p>
    <w:p w14:paraId="1EEC4F2E" w14:textId="77777777" w:rsidR="005B1006" w:rsidRDefault="005B1006" w:rsidP="005B1006">
      <w:pPr>
        <w:spacing w:line="322" w:lineRule="auto"/>
        <w:ind w:left="-10" w:right="8"/>
      </w:pPr>
      <w:r>
        <w:t xml:space="preserve">Jebkādas etioloģijas mirstības rezultāti (izskatīti nāves gadījumi) pētījumā „ENGAGE AF-TIMI 48” bija 769 (3,99% gadā) pacientiem, kas lietoja edoksabānu 60 mg (samazināto devu 30 mg), un 836 (4,35% gadā) varfarīna grupā [RK (95% TI): 0,91 (0,83, 1,01). </w:t>
      </w:r>
    </w:p>
    <w:p w14:paraId="6AA66077" w14:textId="77777777" w:rsidR="005B1006" w:rsidRDefault="005B1006" w:rsidP="005B1006">
      <w:pPr>
        <w:spacing w:after="31"/>
        <w:ind w:left="-10" w:right="8"/>
      </w:pPr>
      <w:r>
        <w:t xml:space="preserve">Jebkādas etioloģijas mirstība (izskatīti nāves gadījumi) pēc nieru darbības apakšgrupām (edoksabāns un varfarīns): CrCl no 30 līdz ≤ 50 ml/min [RK (95% TI): 0,81 (0,68, 0,97)]; CrCl no &gt; 50 līdz &lt; 80 ml/min [RK (95% TI): 0,87 (0,75, 1,02)]; CrCl ≥ 80 ml/min [RK (95% TI): 1,15 (0,95, 1,40)]. </w:t>
      </w:r>
    </w:p>
    <w:p w14:paraId="0BCF9D62" w14:textId="77777777" w:rsidR="005B1006" w:rsidRDefault="005B1006" w:rsidP="005B1006">
      <w:pPr>
        <w:spacing w:after="46" w:line="259" w:lineRule="auto"/>
        <w:ind w:left="2" w:firstLine="0"/>
      </w:pPr>
      <w:r>
        <w:t xml:space="preserve"> </w:t>
      </w:r>
    </w:p>
    <w:p w14:paraId="36D57E83" w14:textId="77777777" w:rsidR="005B1006" w:rsidRDefault="005B1006" w:rsidP="005B1006">
      <w:pPr>
        <w:spacing w:line="322" w:lineRule="auto"/>
        <w:ind w:left="-10" w:right="8"/>
      </w:pPr>
      <w:r>
        <w:t xml:space="preserve">Edoksabāna 60 mg (samazinātās devas 30 mg) grupā kardiovaskulārās mirstības rādītājs bija mazāks nekā varfarīna grupā [RK (95% TI): 0,86 (0,77, 0,97)]. </w:t>
      </w:r>
    </w:p>
    <w:p w14:paraId="37632D20" w14:textId="77777777" w:rsidR="005B1006" w:rsidRDefault="005B1006" w:rsidP="005B1006">
      <w:pPr>
        <w:spacing w:after="32"/>
        <w:ind w:left="-10" w:right="8"/>
      </w:pPr>
      <w:r>
        <w:t xml:space="preserve">Izskatīti efektivitātes dati par kardiovaskulāro mirstību pēc nieru darbības apakšgrupām (edoksabāns un varfarīns): CrCl no 30 līdz ≤ 50 ml/min [RK (95% TI): 0,80 (0,65, 0,99)]; CrCl no &gt; 50 līdz &lt; 80 ml/min [RK (95% TI): 0,75 (0,62, 0,90)]; CrCl ≥ 80 ml/min [RK (95% TI): 1,16 (0,92, 1,46)]. </w:t>
      </w:r>
    </w:p>
    <w:p w14:paraId="72C6EDAD" w14:textId="77777777" w:rsidR="005B1006" w:rsidRDefault="005B1006" w:rsidP="005B1006">
      <w:pPr>
        <w:spacing w:after="46" w:line="259" w:lineRule="auto"/>
        <w:ind w:left="2" w:firstLine="0"/>
      </w:pPr>
      <w:r>
        <w:t xml:space="preserve"> </w:t>
      </w:r>
    </w:p>
    <w:p w14:paraId="549909DF" w14:textId="77777777" w:rsidR="005B1006" w:rsidRDefault="005B1006" w:rsidP="005B1006">
      <w:pPr>
        <w:ind w:left="-10" w:right="8"/>
      </w:pPr>
      <w:r>
        <w:t xml:space="preserve">Primārais drošuma mērķa kritērijs bija būtiska asiņošana.  </w:t>
      </w:r>
    </w:p>
    <w:p w14:paraId="0E1C8BF4" w14:textId="77777777" w:rsidR="005B1006" w:rsidRDefault="005B1006" w:rsidP="005B1006">
      <w:pPr>
        <w:spacing w:after="47" w:line="259" w:lineRule="auto"/>
        <w:ind w:left="2" w:firstLine="0"/>
      </w:pPr>
      <w:r>
        <w:t xml:space="preserve"> </w:t>
      </w:r>
    </w:p>
    <w:p w14:paraId="7831BE3E" w14:textId="77777777" w:rsidR="005B1006" w:rsidRDefault="005B1006" w:rsidP="005B1006">
      <w:pPr>
        <w:spacing w:line="320" w:lineRule="auto"/>
        <w:ind w:left="-10" w:right="8"/>
      </w:pPr>
      <w:r>
        <w:t xml:space="preserve">Edoksabāna 60 mg terapijas grupā salīdzinājumā ar varfarīna grupu novēroja šādu blakusparādību riska pakāpes nozīmīgu samazinājumu: būtiska asiņošana (attiecīgi 2,75% un 3,43% gadā) [RK (95% TI): 0,80 (0,71, 0,91); p = 0,0009], IKA (attiecīgi 0,39% un 0,85% gadā) [RK (95% TI): 0,47 (0,34, 0,63); p &lt; 0,0001] un cita veida asiņošana (6. tabula). </w:t>
      </w:r>
    </w:p>
    <w:p w14:paraId="275C4FFA" w14:textId="77777777" w:rsidR="005B1006" w:rsidRDefault="005B1006" w:rsidP="005B1006">
      <w:pPr>
        <w:spacing w:after="0" w:line="259" w:lineRule="auto"/>
        <w:ind w:left="1" w:firstLine="0"/>
      </w:pPr>
      <w:r>
        <w:t xml:space="preserve"> </w:t>
      </w:r>
    </w:p>
    <w:p w14:paraId="1B75029D" w14:textId="77777777" w:rsidR="005B1006" w:rsidRDefault="005B1006" w:rsidP="005B1006">
      <w:pPr>
        <w:ind w:left="-10" w:right="8"/>
      </w:pPr>
      <w:r>
        <w:t xml:space="preserve">Edoksabāna 60 mg terapijas grupā salīdzinājumā ar varfarīna grupu arī letālas asiņošanas samazinājums bija nozīmīgs (0,21% un 0,38%) [RK (95% TI): 0,55 (0,36, 0,84); p = 0,0059 pārākumam], galvenokārt tāpēc, ka samazinājās IKA letāla asiņošana [RK (95% TI): 0,58 (0,35, 0,95); p = 0,0312]. </w:t>
      </w:r>
    </w:p>
    <w:p w14:paraId="72F1FDE0" w14:textId="77777777" w:rsidR="005B1006" w:rsidRDefault="005B1006" w:rsidP="005B1006">
      <w:pPr>
        <w:spacing w:after="47" w:line="259" w:lineRule="auto"/>
        <w:ind w:firstLine="0"/>
      </w:pPr>
      <w:r>
        <w:t xml:space="preserve"> </w:t>
      </w:r>
    </w:p>
    <w:p w14:paraId="48A56719" w14:textId="77777777" w:rsidR="005B1006" w:rsidRDefault="005B1006" w:rsidP="005B1006">
      <w:pPr>
        <w:pStyle w:val="Heading4"/>
        <w:ind w:left="1124" w:right="0" w:hanging="1134"/>
      </w:pPr>
      <w:r>
        <w:t xml:space="preserve">6. tabula. </w:t>
      </w:r>
      <w:r>
        <w:tab/>
        <w:t xml:space="preserve">Asiņošanas notikumi pētījumā „ENGAGE AF-TIMI 48” – drošuma analīze par ārstēšanas laiku </w:t>
      </w:r>
    </w:p>
    <w:tbl>
      <w:tblPr>
        <w:tblStyle w:val="TableGrid"/>
        <w:tblW w:w="8786" w:type="dxa"/>
        <w:tblInd w:w="118" w:type="dxa"/>
        <w:tblCellMar>
          <w:top w:w="3" w:type="dxa"/>
          <w:left w:w="107" w:type="dxa"/>
          <w:bottom w:w="0" w:type="dxa"/>
          <w:right w:w="115" w:type="dxa"/>
        </w:tblCellMar>
        <w:tblLook w:val="04A0" w:firstRow="1" w:lastRow="0" w:firstColumn="1" w:lastColumn="0" w:noHBand="0" w:noVBand="1"/>
      </w:tblPr>
      <w:tblGrid>
        <w:gridCol w:w="3419"/>
        <w:gridCol w:w="2884"/>
        <w:gridCol w:w="2483"/>
      </w:tblGrid>
      <w:tr w:rsidR="005B1006" w14:paraId="1DCB5B73" w14:textId="77777777" w:rsidTr="00A250AE">
        <w:trPr>
          <w:trHeight w:val="847"/>
        </w:trPr>
        <w:tc>
          <w:tcPr>
            <w:tcW w:w="3419" w:type="dxa"/>
            <w:tcBorders>
              <w:top w:val="single" w:sz="4" w:space="0" w:color="000000"/>
              <w:left w:val="single" w:sz="4" w:space="0" w:color="000000"/>
              <w:bottom w:val="single" w:sz="4" w:space="0" w:color="000000"/>
              <w:right w:val="single" w:sz="4" w:space="0" w:color="000000"/>
            </w:tcBorders>
            <w:shd w:val="clear" w:color="auto" w:fill="D9D9D9"/>
          </w:tcPr>
          <w:p w14:paraId="0C70F324" w14:textId="77777777" w:rsidR="005B1006" w:rsidRDefault="005B1006" w:rsidP="00A250AE">
            <w:pPr>
              <w:spacing w:after="0" w:line="259" w:lineRule="auto"/>
              <w:ind w:left="0" w:firstLine="0"/>
            </w:pPr>
            <w:r>
              <w:rPr>
                <w:b/>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14:paraId="642C6360" w14:textId="77777777" w:rsidR="005B1006" w:rsidRDefault="005B1006" w:rsidP="00A250AE">
            <w:pPr>
              <w:spacing w:after="89" w:line="259" w:lineRule="auto"/>
              <w:ind w:left="6" w:firstLine="0"/>
              <w:jc w:val="center"/>
            </w:pPr>
            <w:r>
              <w:rPr>
                <w:b/>
              </w:rPr>
              <w:t xml:space="preserve">Edoksabāns 60 mg </w:t>
            </w:r>
          </w:p>
          <w:p w14:paraId="15ED35AA" w14:textId="77777777" w:rsidR="005B1006" w:rsidRDefault="005B1006" w:rsidP="00A250AE">
            <w:pPr>
              <w:spacing w:after="72" w:line="259" w:lineRule="auto"/>
              <w:ind w:left="8" w:firstLine="0"/>
              <w:jc w:val="center"/>
            </w:pPr>
            <w:r>
              <w:rPr>
                <w:b/>
              </w:rPr>
              <w:t xml:space="preserve">(samazinātā deva 30 mg) </w:t>
            </w:r>
          </w:p>
          <w:p w14:paraId="483081CA" w14:textId="77777777" w:rsidR="005B1006" w:rsidRDefault="005B1006" w:rsidP="00A250AE">
            <w:pPr>
              <w:spacing w:after="0" w:line="259" w:lineRule="auto"/>
              <w:ind w:left="9" w:firstLine="0"/>
              <w:jc w:val="center"/>
            </w:pPr>
            <w:r>
              <w:rPr>
                <w:b/>
              </w:rPr>
              <w:t>(N</w:t>
            </w:r>
            <w:r>
              <w:t xml:space="preserve"> </w:t>
            </w:r>
            <w:r>
              <w:rPr>
                <w:b/>
              </w:rPr>
              <w:t>=</w:t>
            </w:r>
            <w:r>
              <w:t xml:space="preserve"> </w:t>
            </w:r>
            <w:r>
              <w:rPr>
                <w:b/>
              </w:rPr>
              <w:t xml:space="preserve">7012) </w:t>
            </w:r>
          </w:p>
        </w:tc>
        <w:tc>
          <w:tcPr>
            <w:tcW w:w="24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003B8" w14:textId="77777777" w:rsidR="005B1006" w:rsidRDefault="005B1006" w:rsidP="00A250AE">
            <w:pPr>
              <w:spacing w:after="0" w:line="259" w:lineRule="auto"/>
              <w:ind w:left="562" w:right="496" w:firstLine="0"/>
              <w:jc w:val="center"/>
            </w:pPr>
            <w:r>
              <w:rPr>
                <w:b/>
              </w:rPr>
              <w:t>Varfarīns (N</w:t>
            </w:r>
            <w:r>
              <w:t xml:space="preserve"> </w:t>
            </w:r>
            <w:r>
              <w:rPr>
                <w:b/>
              </w:rPr>
              <w:t>=</w:t>
            </w:r>
            <w:r>
              <w:t xml:space="preserve"> </w:t>
            </w:r>
            <w:r>
              <w:rPr>
                <w:b/>
              </w:rPr>
              <w:t xml:space="preserve">7012) </w:t>
            </w:r>
          </w:p>
        </w:tc>
      </w:tr>
      <w:tr w:rsidR="005B1006" w14:paraId="2372746C" w14:textId="77777777" w:rsidTr="00A250AE">
        <w:trPr>
          <w:trHeight w:val="302"/>
        </w:trPr>
        <w:tc>
          <w:tcPr>
            <w:tcW w:w="3419" w:type="dxa"/>
            <w:tcBorders>
              <w:top w:val="single" w:sz="4" w:space="0" w:color="000000"/>
              <w:left w:val="single" w:sz="4" w:space="0" w:color="000000"/>
              <w:bottom w:val="single" w:sz="4" w:space="0" w:color="000000"/>
              <w:right w:val="single" w:sz="4" w:space="0" w:color="000000"/>
            </w:tcBorders>
            <w:shd w:val="clear" w:color="auto" w:fill="D9D9D9"/>
          </w:tcPr>
          <w:p w14:paraId="1D8007B2" w14:textId="77777777" w:rsidR="005B1006" w:rsidRDefault="005B1006" w:rsidP="00A250AE">
            <w:pPr>
              <w:spacing w:after="0" w:line="259" w:lineRule="auto"/>
              <w:ind w:left="0" w:firstLine="0"/>
            </w:pPr>
            <w:r>
              <w:rPr>
                <w:b/>
              </w:rPr>
              <w:t xml:space="preserve">Būtiska asiņošana </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14:paraId="53B404FD" w14:textId="77777777" w:rsidR="005B1006" w:rsidRDefault="005B1006" w:rsidP="00A250AE">
            <w:pPr>
              <w:spacing w:after="0" w:line="259" w:lineRule="auto"/>
              <w:ind w:left="62" w:firstLine="0"/>
              <w:jc w:val="center"/>
            </w:pPr>
            <w: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D9D9D9"/>
          </w:tcPr>
          <w:p w14:paraId="3C304922" w14:textId="77777777" w:rsidR="005B1006" w:rsidRDefault="005B1006" w:rsidP="00A250AE">
            <w:pPr>
              <w:spacing w:after="0" w:line="259" w:lineRule="auto"/>
              <w:ind w:left="65" w:firstLine="0"/>
              <w:jc w:val="center"/>
            </w:pPr>
            <w:r>
              <w:t xml:space="preserve"> </w:t>
            </w:r>
          </w:p>
        </w:tc>
      </w:tr>
      <w:tr w:rsidR="005B1006" w14:paraId="401D340D"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78E90941" w14:textId="77777777" w:rsidR="005B1006" w:rsidRDefault="005B1006" w:rsidP="00A250AE">
            <w:pPr>
              <w:spacing w:after="0" w:line="259" w:lineRule="auto"/>
              <w:ind w:left="0" w:firstLine="0"/>
            </w:pPr>
            <w:r>
              <w:t xml:space="preserve">n </w:t>
            </w:r>
          </w:p>
        </w:tc>
        <w:tc>
          <w:tcPr>
            <w:tcW w:w="2884" w:type="dxa"/>
            <w:tcBorders>
              <w:top w:val="single" w:sz="4" w:space="0" w:color="000000"/>
              <w:left w:val="single" w:sz="4" w:space="0" w:color="000000"/>
              <w:bottom w:val="single" w:sz="4" w:space="0" w:color="000000"/>
              <w:right w:val="single" w:sz="4" w:space="0" w:color="000000"/>
            </w:tcBorders>
          </w:tcPr>
          <w:p w14:paraId="1F150165" w14:textId="77777777" w:rsidR="005B1006" w:rsidRDefault="005B1006" w:rsidP="00A250AE">
            <w:pPr>
              <w:spacing w:after="0" w:line="259" w:lineRule="auto"/>
              <w:ind w:left="9" w:firstLine="0"/>
              <w:jc w:val="center"/>
            </w:pPr>
            <w:r>
              <w:t xml:space="preserve">418 </w:t>
            </w:r>
          </w:p>
        </w:tc>
        <w:tc>
          <w:tcPr>
            <w:tcW w:w="2483" w:type="dxa"/>
            <w:tcBorders>
              <w:top w:val="single" w:sz="4" w:space="0" w:color="000000"/>
              <w:left w:val="single" w:sz="4" w:space="0" w:color="000000"/>
              <w:bottom w:val="single" w:sz="4" w:space="0" w:color="000000"/>
              <w:right w:val="single" w:sz="4" w:space="0" w:color="000000"/>
            </w:tcBorders>
          </w:tcPr>
          <w:p w14:paraId="03E3400F" w14:textId="77777777" w:rsidR="005B1006" w:rsidRDefault="005B1006" w:rsidP="00A250AE">
            <w:pPr>
              <w:spacing w:after="0" w:line="259" w:lineRule="auto"/>
              <w:ind w:left="12" w:firstLine="0"/>
              <w:jc w:val="center"/>
            </w:pPr>
            <w:r>
              <w:t xml:space="preserve">524 </w:t>
            </w:r>
          </w:p>
        </w:tc>
      </w:tr>
      <w:tr w:rsidR="005B1006" w14:paraId="2734DBB9"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3B629DD5" w14:textId="77777777" w:rsidR="005B1006" w:rsidRDefault="005B1006" w:rsidP="00A250AE">
            <w:pPr>
              <w:spacing w:after="0" w:line="259" w:lineRule="auto"/>
              <w:ind w:left="0" w:firstLine="0"/>
            </w:pPr>
            <w:r>
              <w:t>Notikumu rādītājs (%/g.)</w:t>
            </w:r>
            <w:r>
              <w:rPr>
                <w:vertAlign w:val="superscript"/>
              </w:rPr>
              <w:t>a</w:t>
            </w:r>
            <w:r>
              <w:t xml:space="preserve"> </w:t>
            </w:r>
          </w:p>
        </w:tc>
        <w:tc>
          <w:tcPr>
            <w:tcW w:w="2884" w:type="dxa"/>
            <w:tcBorders>
              <w:top w:val="single" w:sz="4" w:space="0" w:color="000000"/>
              <w:left w:val="single" w:sz="4" w:space="0" w:color="000000"/>
              <w:bottom w:val="single" w:sz="4" w:space="0" w:color="000000"/>
              <w:right w:val="single" w:sz="4" w:space="0" w:color="000000"/>
            </w:tcBorders>
          </w:tcPr>
          <w:p w14:paraId="514DB651" w14:textId="77777777" w:rsidR="005B1006" w:rsidRDefault="005B1006" w:rsidP="00A250AE">
            <w:pPr>
              <w:spacing w:after="0" w:line="259" w:lineRule="auto"/>
              <w:ind w:left="9" w:firstLine="0"/>
              <w:jc w:val="center"/>
            </w:pPr>
            <w:r>
              <w:t xml:space="preserve">2,75 </w:t>
            </w:r>
          </w:p>
        </w:tc>
        <w:tc>
          <w:tcPr>
            <w:tcW w:w="2483" w:type="dxa"/>
            <w:tcBorders>
              <w:top w:val="single" w:sz="4" w:space="0" w:color="000000"/>
              <w:left w:val="single" w:sz="4" w:space="0" w:color="000000"/>
              <w:bottom w:val="single" w:sz="4" w:space="0" w:color="000000"/>
              <w:right w:val="single" w:sz="4" w:space="0" w:color="000000"/>
            </w:tcBorders>
          </w:tcPr>
          <w:p w14:paraId="2D581546" w14:textId="77777777" w:rsidR="005B1006" w:rsidRDefault="005B1006" w:rsidP="00A250AE">
            <w:pPr>
              <w:spacing w:after="0" w:line="259" w:lineRule="auto"/>
              <w:ind w:left="12" w:firstLine="0"/>
              <w:jc w:val="center"/>
            </w:pPr>
            <w:r>
              <w:t xml:space="preserve">3,43 </w:t>
            </w:r>
          </w:p>
        </w:tc>
      </w:tr>
      <w:tr w:rsidR="005B1006" w14:paraId="38363A71" w14:textId="77777777" w:rsidTr="00A250AE">
        <w:trPr>
          <w:trHeight w:val="302"/>
        </w:trPr>
        <w:tc>
          <w:tcPr>
            <w:tcW w:w="3419" w:type="dxa"/>
            <w:tcBorders>
              <w:top w:val="single" w:sz="4" w:space="0" w:color="000000"/>
              <w:left w:val="single" w:sz="4" w:space="0" w:color="000000"/>
              <w:bottom w:val="single" w:sz="4" w:space="0" w:color="000000"/>
              <w:right w:val="single" w:sz="4" w:space="0" w:color="000000"/>
            </w:tcBorders>
          </w:tcPr>
          <w:p w14:paraId="31DE1203" w14:textId="77777777" w:rsidR="005B1006" w:rsidRDefault="005B1006" w:rsidP="00A250AE">
            <w:pPr>
              <w:spacing w:after="0" w:line="259" w:lineRule="auto"/>
              <w:ind w:left="0" w:firstLine="0"/>
            </w:pPr>
            <w:r>
              <w:t xml:space="preserve">RK (95% TI) </w:t>
            </w:r>
          </w:p>
        </w:tc>
        <w:tc>
          <w:tcPr>
            <w:tcW w:w="2884" w:type="dxa"/>
            <w:tcBorders>
              <w:top w:val="single" w:sz="4" w:space="0" w:color="000000"/>
              <w:left w:val="single" w:sz="4" w:space="0" w:color="000000"/>
              <w:bottom w:val="single" w:sz="4" w:space="0" w:color="000000"/>
              <w:right w:val="single" w:sz="4" w:space="0" w:color="000000"/>
            </w:tcBorders>
          </w:tcPr>
          <w:p w14:paraId="2F65D3B5" w14:textId="77777777" w:rsidR="005B1006" w:rsidRDefault="005B1006" w:rsidP="00A250AE">
            <w:pPr>
              <w:spacing w:after="0" w:line="259" w:lineRule="auto"/>
              <w:ind w:left="8" w:firstLine="0"/>
              <w:jc w:val="center"/>
            </w:pPr>
            <w:r>
              <w:t xml:space="preserve">0,80 (0,71, 0,91) </w:t>
            </w:r>
          </w:p>
        </w:tc>
        <w:tc>
          <w:tcPr>
            <w:tcW w:w="2483" w:type="dxa"/>
            <w:tcBorders>
              <w:top w:val="single" w:sz="4" w:space="0" w:color="000000"/>
              <w:left w:val="single" w:sz="4" w:space="0" w:color="000000"/>
              <w:bottom w:val="single" w:sz="4" w:space="0" w:color="000000"/>
              <w:right w:val="single" w:sz="4" w:space="0" w:color="000000"/>
            </w:tcBorders>
          </w:tcPr>
          <w:p w14:paraId="70779FB1" w14:textId="77777777" w:rsidR="005B1006" w:rsidRDefault="005B1006" w:rsidP="00A250AE">
            <w:pPr>
              <w:spacing w:after="0" w:line="259" w:lineRule="auto"/>
              <w:ind w:left="65" w:firstLine="0"/>
              <w:jc w:val="center"/>
            </w:pPr>
            <w:r>
              <w:t xml:space="preserve"> </w:t>
            </w:r>
          </w:p>
        </w:tc>
      </w:tr>
      <w:tr w:rsidR="005B1006" w14:paraId="3728BF41" w14:textId="77777777" w:rsidTr="00A250AE">
        <w:trPr>
          <w:trHeight w:val="305"/>
        </w:trPr>
        <w:tc>
          <w:tcPr>
            <w:tcW w:w="3419" w:type="dxa"/>
            <w:tcBorders>
              <w:top w:val="single" w:sz="4" w:space="0" w:color="000000"/>
              <w:left w:val="single" w:sz="4" w:space="0" w:color="000000"/>
              <w:bottom w:val="single" w:sz="4" w:space="0" w:color="000000"/>
              <w:right w:val="single" w:sz="4" w:space="0" w:color="000000"/>
            </w:tcBorders>
          </w:tcPr>
          <w:p w14:paraId="136CE5AF" w14:textId="77777777" w:rsidR="005B1006" w:rsidRDefault="005B1006" w:rsidP="00A250AE">
            <w:pPr>
              <w:spacing w:after="0" w:line="259" w:lineRule="auto"/>
              <w:ind w:left="0" w:firstLine="0"/>
            </w:pPr>
            <w:r>
              <w:t xml:space="preserve">p vērtība </w:t>
            </w:r>
          </w:p>
        </w:tc>
        <w:tc>
          <w:tcPr>
            <w:tcW w:w="2884" w:type="dxa"/>
            <w:tcBorders>
              <w:top w:val="single" w:sz="4" w:space="0" w:color="000000"/>
              <w:left w:val="single" w:sz="4" w:space="0" w:color="000000"/>
              <w:bottom w:val="single" w:sz="4" w:space="0" w:color="000000"/>
              <w:right w:val="single" w:sz="4" w:space="0" w:color="000000"/>
            </w:tcBorders>
          </w:tcPr>
          <w:p w14:paraId="53B41BE0" w14:textId="77777777" w:rsidR="005B1006" w:rsidRDefault="005B1006" w:rsidP="00A250AE">
            <w:pPr>
              <w:spacing w:after="0" w:line="259" w:lineRule="auto"/>
              <w:ind w:left="7" w:firstLine="0"/>
              <w:jc w:val="center"/>
            </w:pPr>
            <w:r>
              <w:t xml:space="preserve">0,0009 </w:t>
            </w:r>
          </w:p>
        </w:tc>
        <w:tc>
          <w:tcPr>
            <w:tcW w:w="2483" w:type="dxa"/>
            <w:tcBorders>
              <w:top w:val="single" w:sz="4" w:space="0" w:color="000000"/>
              <w:left w:val="single" w:sz="4" w:space="0" w:color="000000"/>
              <w:bottom w:val="single" w:sz="4" w:space="0" w:color="000000"/>
              <w:right w:val="single" w:sz="4" w:space="0" w:color="000000"/>
            </w:tcBorders>
          </w:tcPr>
          <w:p w14:paraId="3F9E4E25" w14:textId="77777777" w:rsidR="005B1006" w:rsidRDefault="005B1006" w:rsidP="00A250AE">
            <w:pPr>
              <w:spacing w:after="0" w:line="259" w:lineRule="auto"/>
              <w:ind w:left="65" w:firstLine="0"/>
              <w:jc w:val="center"/>
            </w:pPr>
            <w:r>
              <w:t xml:space="preserve"> </w:t>
            </w:r>
          </w:p>
        </w:tc>
      </w:tr>
      <w:tr w:rsidR="005B1006" w14:paraId="383BC309" w14:textId="77777777" w:rsidTr="00A250AE">
        <w:trPr>
          <w:trHeight w:val="300"/>
        </w:trPr>
        <w:tc>
          <w:tcPr>
            <w:tcW w:w="3419" w:type="dxa"/>
            <w:tcBorders>
              <w:top w:val="single" w:sz="4" w:space="0" w:color="000000"/>
              <w:left w:val="single" w:sz="4" w:space="0" w:color="000000"/>
              <w:bottom w:val="single" w:sz="4" w:space="0" w:color="000000"/>
              <w:right w:val="single" w:sz="4" w:space="0" w:color="000000"/>
            </w:tcBorders>
            <w:shd w:val="clear" w:color="auto" w:fill="D9D9D9"/>
          </w:tcPr>
          <w:p w14:paraId="313DE3FA" w14:textId="77777777" w:rsidR="005B1006" w:rsidRDefault="005B1006" w:rsidP="00A250AE">
            <w:pPr>
              <w:spacing w:after="0" w:line="259" w:lineRule="auto"/>
              <w:ind w:left="360" w:firstLine="0"/>
            </w:pPr>
            <w:r>
              <w:t>IKA</w:t>
            </w:r>
            <w:r>
              <w:rPr>
                <w:vertAlign w:val="superscript"/>
              </w:rPr>
              <w:t>b</w:t>
            </w:r>
            <w: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14:paraId="2E5FAC9D" w14:textId="77777777" w:rsidR="005B1006" w:rsidRDefault="005B1006" w:rsidP="00A250AE">
            <w:pPr>
              <w:spacing w:after="0" w:line="259" w:lineRule="auto"/>
              <w:ind w:left="62" w:firstLine="0"/>
              <w:jc w:val="center"/>
            </w:pPr>
            <w: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D9D9D9"/>
          </w:tcPr>
          <w:p w14:paraId="276DBEC1" w14:textId="77777777" w:rsidR="005B1006" w:rsidRDefault="005B1006" w:rsidP="00A250AE">
            <w:pPr>
              <w:spacing w:after="0" w:line="259" w:lineRule="auto"/>
              <w:ind w:left="65" w:firstLine="0"/>
              <w:jc w:val="center"/>
            </w:pPr>
            <w:r>
              <w:t xml:space="preserve"> </w:t>
            </w:r>
          </w:p>
        </w:tc>
      </w:tr>
      <w:tr w:rsidR="005B1006" w14:paraId="5BF0DFFD" w14:textId="77777777" w:rsidTr="00A250AE">
        <w:trPr>
          <w:trHeight w:val="305"/>
        </w:trPr>
        <w:tc>
          <w:tcPr>
            <w:tcW w:w="3419" w:type="dxa"/>
            <w:tcBorders>
              <w:top w:val="single" w:sz="4" w:space="0" w:color="000000"/>
              <w:left w:val="single" w:sz="4" w:space="0" w:color="000000"/>
              <w:bottom w:val="single" w:sz="4" w:space="0" w:color="000000"/>
              <w:right w:val="single" w:sz="4" w:space="0" w:color="000000"/>
            </w:tcBorders>
          </w:tcPr>
          <w:p w14:paraId="67B610B3" w14:textId="77777777" w:rsidR="005B1006" w:rsidRDefault="005B1006" w:rsidP="00A250AE">
            <w:pPr>
              <w:spacing w:after="0" w:line="259" w:lineRule="auto"/>
              <w:ind w:left="360" w:firstLine="0"/>
            </w:pPr>
            <w:r>
              <w:t xml:space="preserve">n </w:t>
            </w:r>
          </w:p>
        </w:tc>
        <w:tc>
          <w:tcPr>
            <w:tcW w:w="2884" w:type="dxa"/>
            <w:tcBorders>
              <w:top w:val="single" w:sz="4" w:space="0" w:color="000000"/>
              <w:left w:val="single" w:sz="4" w:space="0" w:color="000000"/>
              <w:bottom w:val="single" w:sz="4" w:space="0" w:color="000000"/>
              <w:right w:val="single" w:sz="4" w:space="0" w:color="000000"/>
            </w:tcBorders>
          </w:tcPr>
          <w:p w14:paraId="4EAB9A76" w14:textId="77777777" w:rsidR="005B1006" w:rsidRDefault="005B1006" w:rsidP="00A250AE">
            <w:pPr>
              <w:spacing w:after="0" w:line="259" w:lineRule="auto"/>
              <w:ind w:left="8" w:firstLine="0"/>
              <w:jc w:val="center"/>
            </w:pPr>
            <w:r>
              <w:t xml:space="preserve">61 </w:t>
            </w:r>
          </w:p>
        </w:tc>
        <w:tc>
          <w:tcPr>
            <w:tcW w:w="2483" w:type="dxa"/>
            <w:tcBorders>
              <w:top w:val="single" w:sz="4" w:space="0" w:color="000000"/>
              <w:left w:val="single" w:sz="4" w:space="0" w:color="000000"/>
              <w:bottom w:val="single" w:sz="4" w:space="0" w:color="000000"/>
              <w:right w:val="single" w:sz="4" w:space="0" w:color="000000"/>
            </w:tcBorders>
          </w:tcPr>
          <w:p w14:paraId="28518F3D" w14:textId="77777777" w:rsidR="005B1006" w:rsidRDefault="005B1006" w:rsidP="00A250AE">
            <w:pPr>
              <w:spacing w:after="0" w:line="259" w:lineRule="auto"/>
              <w:ind w:left="12" w:firstLine="0"/>
              <w:jc w:val="center"/>
            </w:pPr>
            <w:r>
              <w:t xml:space="preserve">132 </w:t>
            </w:r>
          </w:p>
        </w:tc>
      </w:tr>
      <w:tr w:rsidR="005B1006" w14:paraId="60611702" w14:textId="77777777" w:rsidTr="00A250AE">
        <w:trPr>
          <w:trHeight w:val="302"/>
        </w:trPr>
        <w:tc>
          <w:tcPr>
            <w:tcW w:w="3419" w:type="dxa"/>
            <w:tcBorders>
              <w:top w:val="single" w:sz="4" w:space="0" w:color="000000"/>
              <w:left w:val="single" w:sz="4" w:space="0" w:color="000000"/>
              <w:bottom w:val="single" w:sz="4" w:space="0" w:color="000000"/>
              <w:right w:val="single" w:sz="4" w:space="0" w:color="000000"/>
            </w:tcBorders>
          </w:tcPr>
          <w:p w14:paraId="42CDDC07" w14:textId="77777777" w:rsidR="005B1006" w:rsidRDefault="005B1006" w:rsidP="00A250AE">
            <w:pPr>
              <w:spacing w:after="0" w:line="259" w:lineRule="auto"/>
              <w:ind w:left="360" w:firstLine="0"/>
            </w:pPr>
            <w:r>
              <w:t>Notikumu rādītājs (%/g.)</w:t>
            </w:r>
            <w:r>
              <w:rPr>
                <w:vertAlign w:val="superscript"/>
              </w:rPr>
              <w:t>a</w:t>
            </w:r>
            <w:r>
              <w:t xml:space="preserve"> </w:t>
            </w:r>
          </w:p>
        </w:tc>
        <w:tc>
          <w:tcPr>
            <w:tcW w:w="2884" w:type="dxa"/>
            <w:tcBorders>
              <w:top w:val="single" w:sz="4" w:space="0" w:color="000000"/>
              <w:left w:val="single" w:sz="4" w:space="0" w:color="000000"/>
              <w:bottom w:val="single" w:sz="4" w:space="0" w:color="000000"/>
              <w:right w:val="single" w:sz="4" w:space="0" w:color="000000"/>
            </w:tcBorders>
          </w:tcPr>
          <w:p w14:paraId="6E7EE0B1" w14:textId="77777777" w:rsidR="005B1006" w:rsidRDefault="005B1006" w:rsidP="00A250AE">
            <w:pPr>
              <w:spacing w:after="0" w:line="259" w:lineRule="auto"/>
              <w:ind w:left="9" w:firstLine="0"/>
              <w:jc w:val="center"/>
            </w:pPr>
            <w:r>
              <w:t xml:space="preserve">0,39 </w:t>
            </w:r>
          </w:p>
        </w:tc>
        <w:tc>
          <w:tcPr>
            <w:tcW w:w="2483" w:type="dxa"/>
            <w:tcBorders>
              <w:top w:val="single" w:sz="4" w:space="0" w:color="000000"/>
              <w:left w:val="single" w:sz="4" w:space="0" w:color="000000"/>
              <w:bottom w:val="single" w:sz="4" w:space="0" w:color="000000"/>
              <w:right w:val="single" w:sz="4" w:space="0" w:color="000000"/>
            </w:tcBorders>
          </w:tcPr>
          <w:p w14:paraId="147ED293" w14:textId="77777777" w:rsidR="005B1006" w:rsidRDefault="005B1006" w:rsidP="00A250AE">
            <w:pPr>
              <w:spacing w:after="0" w:line="259" w:lineRule="auto"/>
              <w:ind w:left="12" w:firstLine="0"/>
              <w:jc w:val="center"/>
            </w:pPr>
            <w:r>
              <w:t xml:space="preserve">0,85 </w:t>
            </w:r>
          </w:p>
        </w:tc>
      </w:tr>
      <w:tr w:rsidR="005B1006" w14:paraId="412B68B0"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07BC9E1E" w14:textId="77777777" w:rsidR="005B1006" w:rsidRDefault="005B1006" w:rsidP="00A250AE">
            <w:pPr>
              <w:spacing w:after="0" w:line="259" w:lineRule="auto"/>
              <w:ind w:left="360" w:firstLine="0"/>
            </w:pPr>
            <w:r>
              <w:t xml:space="preserve">RK (95% TI) </w:t>
            </w:r>
          </w:p>
        </w:tc>
        <w:tc>
          <w:tcPr>
            <w:tcW w:w="2884" w:type="dxa"/>
            <w:tcBorders>
              <w:top w:val="single" w:sz="4" w:space="0" w:color="000000"/>
              <w:left w:val="single" w:sz="4" w:space="0" w:color="000000"/>
              <w:bottom w:val="single" w:sz="4" w:space="0" w:color="000000"/>
              <w:right w:val="single" w:sz="4" w:space="0" w:color="000000"/>
            </w:tcBorders>
          </w:tcPr>
          <w:p w14:paraId="6A0A9812" w14:textId="77777777" w:rsidR="005B1006" w:rsidRDefault="005B1006" w:rsidP="00A250AE">
            <w:pPr>
              <w:spacing w:after="0" w:line="259" w:lineRule="auto"/>
              <w:ind w:left="8" w:firstLine="0"/>
              <w:jc w:val="center"/>
            </w:pPr>
            <w:r>
              <w:t xml:space="preserve">0,47 (0,34, 0,63) </w:t>
            </w:r>
          </w:p>
        </w:tc>
        <w:tc>
          <w:tcPr>
            <w:tcW w:w="2483" w:type="dxa"/>
            <w:tcBorders>
              <w:top w:val="single" w:sz="4" w:space="0" w:color="000000"/>
              <w:left w:val="single" w:sz="4" w:space="0" w:color="000000"/>
              <w:bottom w:val="single" w:sz="4" w:space="0" w:color="000000"/>
              <w:right w:val="single" w:sz="4" w:space="0" w:color="000000"/>
            </w:tcBorders>
          </w:tcPr>
          <w:p w14:paraId="3378ED11" w14:textId="77777777" w:rsidR="005B1006" w:rsidRDefault="005B1006" w:rsidP="00A250AE">
            <w:pPr>
              <w:spacing w:after="0" w:line="259" w:lineRule="auto"/>
              <w:ind w:left="65" w:firstLine="0"/>
              <w:jc w:val="center"/>
            </w:pPr>
            <w:r>
              <w:t xml:space="preserve"> </w:t>
            </w:r>
          </w:p>
        </w:tc>
      </w:tr>
      <w:tr w:rsidR="005B1006" w14:paraId="6036E900" w14:textId="77777777" w:rsidTr="00A250AE">
        <w:trPr>
          <w:trHeight w:val="301"/>
        </w:trPr>
        <w:tc>
          <w:tcPr>
            <w:tcW w:w="3419" w:type="dxa"/>
            <w:tcBorders>
              <w:top w:val="single" w:sz="4" w:space="0" w:color="000000"/>
              <w:left w:val="single" w:sz="4" w:space="0" w:color="000000"/>
              <w:bottom w:val="single" w:sz="4" w:space="0" w:color="000000"/>
              <w:right w:val="single" w:sz="4" w:space="0" w:color="000000"/>
            </w:tcBorders>
            <w:shd w:val="clear" w:color="auto" w:fill="D9D9D9"/>
          </w:tcPr>
          <w:p w14:paraId="395BF4AA" w14:textId="77777777" w:rsidR="005B1006" w:rsidRDefault="005B1006" w:rsidP="00A250AE">
            <w:pPr>
              <w:spacing w:after="0" w:line="259" w:lineRule="auto"/>
              <w:ind w:left="0" w:firstLine="0"/>
            </w:pPr>
            <w:r>
              <w:rPr>
                <w:b/>
              </w:rPr>
              <w:t xml:space="preserve">Letāla asiņošana </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14:paraId="17C5F79A" w14:textId="77777777" w:rsidR="005B1006" w:rsidRDefault="005B1006" w:rsidP="00A250AE">
            <w:pPr>
              <w:spacing w:after="0" w:line="259" w:lineRule="auto"/>
              <w:ind w:left="62" w:firstLine="0"/>
              <w:jc w:val="center"/>
            </w:pPr>
            <w: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D9D9D9"/>
          </w:tcPr>
          <w:p w14:paraId="20B87A42" w14:textId="77777777" w:rsidR="005B1006" w:rsidRDefault="005B1006" w:rsidP="00A250AE">
            <w:pPr>
              <w:spacing w:after="0" w:line="259" w:lineRule="auto"/>
              <w:ind w:left="65" w:firstLine="0"/>
              <w:jc w:val="center"/>
            </w:pPr>
            <w:r>
              <w:t xml:space="preserve"> </w:t>
            </w:r>
          </w:p>
        </w:tc>
      </w:tr>
      <w:tr w:rsidR="005B1006" w14:paraId="65D1862F"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35959997" w14:textId="77777777" w:rsidR="005B1006" w:rsidRDefault="005B1006" w:rsidP="00A250AE">
            <w:pPr>
              <w:spacing w:after="0" w:line="259" w:lineRule="auto"/>
              <w:ind w:left="0" w:firstLine="0"/>
            </w:pPr>
            <w:r>
              <w:t xml:space="preserve">n </w:t>
            </w:r>
          </w:p>
        </w:tc>
        <w:tc>
          <w:tcPr>
            <w:tcW w:w="2884" w:type="dxa"/>
            <w:tcBorders>
              <w:top w:val="single" w:sz="4" w:space="0" w:color="000000"/>
              <w:left w:val="single" w:sz="4" w:space="0" w:color="000000"/>
              <w:bottom w:val="single" w:sz="4" w:space="0" w:color="000000"/>
              <w:right w:val="single" w:sz="4" w:space="0" w:color="000000"/>
            </w:tcBorders>
          </w:tcPr>
          <w:p w14:paraId="4732019C" w14:textId="77777777" w:rsidR="005B1006" w:rsidRDefault="005B1006" w:rsidP="00A250AE">
            <w:pPr>
              <w:spacing w:after="0" w:line="259" w:lineRule="auto"/>
              <w:ind w:left="8" w:firstLine="0"/>
              <w:jc w:val="center"/>
            </w:pPr>
            <w:r>
              <w:t xml:space="preserve">32 </w:t>
            </w:r>
          </w:p>
        </w:tc>
        <w:tc>
          <w:tcPr>
            <w:tcW w:w="2483" w:type="dxa"/>
            <w:tcBorders>
              <w:top w:val="single" w:sz="4" w:space="0" w:color="000000"/>
              <w:left w:val="single" w:sz="4" w:space="0" w:color="000000"/>
              <w:bottom w:val="single" w:sz="4" w:space="0" w:color="000000"/>
              <w:right w:val="single" w:sz="4" w:space="0" w:color="000000"/>
            </w:tcBorders>
          </w:tcPr>
          <w:p w14:paraId="647489A6" w14:textId="77777777" w:rsidR="005B1006" w:rsidRDefault="005B1006" w:rsidP="00A250AE">
            <w:pPr>
              <w:spacing w:after="0" w:line="259" w:lineRule="auto"/>
              <w:ind w:left="12" w:firstLine="0"/>
              <w:jc w:val="center"/>
            </w:pPr>
            <w:r>
              <w:t xml:space="preserve">59 </w:t>
            </w:r>
          </w:p>
        </w:tc>
      </w:tr>
      <w:tr w:rsidR="005B1006" w14:paraId="68B41397"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3215B3F5" w14:textId="77777777" w:rsidR="005B1006" w:rsidRDefault="005B1006" w:rsidP="00A250AE">
            <w:pPr>
              <w:spacing w:after="0" w:line="259" w:lineRule="auto"/>
              <w:ind w:left="0" w:firstLine="0"/>
            </w:pPr>
            <w:r>
              <w:t>Notikumu rādītājs (%/g.)</w:t>
            </w:r>
            <w:r>
              <w:rPr>
                <w:vertAlign w:val="superscript"/>
              </w:rPr>
              <w:t>a</w:t>
            </w:r>
            <w:r>
              <w:t xml:space="preserve"> </w:t>
            </w:r>
          </w:p>
        </w:tc>
        <w:tc>
          <w:tcPr>
            <w:tcW w:w="2884" w:type="dxa"/>
            <w:tcBorders>
              <w:top w:val="single" w:sz="4" w:space="0" w:color="000000"/>
              <w:left w:val="single" w:sz="4" w:space="0" w:color="000000"/>
              <w:bottom w:val="single" w:sz="4" w:space="0" w:color="000000"/>
              <w:right w:val="single" w:sz="4" w:space="0" w:color="000000"/>
            </w:tcBorders>
          </w:tcPr>
          <w:p w14:paraId="05A593A7" w14:textId="77777777" w:rsidR="005B1006" w:rsidRDefault="005B1006" w:rsidP="00A250AE">
            <w:pPr>
              <w:spacing w:after="0" w:line="259" w:lineRule="auto"/>
              <w:ind w:left="9" w:firstLine="0"/>
              <w:jc w:val="center"/>
            </w:pPr>
            <w:r>
              <w:t xml:space="preserve">0,21 </w:t>
            </w:r>
          </w:p>
        </w:tc>
        <w:tc>
          <w:tcPr>
            <w:tcW w:w="2483" w:type="dxa"/>
            <w:tcBorders>
              <w:top w:val="single" w:sz="4" w:space="0" w:color="000000"/>
              <w:left w:val="single" w:sz="4" w:space="0" w:color="000000"/>
              <w:bottom w:val="single" w:sz="4" w:space="0" w:color="000000"/>
              <w:right w:val="single" w:sz="4" w:space="0" w:color="000000"/>
            </w:tcBorders>
          </w:tcPr>
          <w:p w14:paraId="3C1E1262" w14:textId="77777777" w:rsidR="005B1006" w:rsidRDefault="005B1006" w:rsidP="00A250AE">
            <w:pPr>
              <w:spacing w:after="0" w:line="259" w:lineRule="auto"/>
              <w:ind w:left="12" w:firstLine="0"/>
              <w:jc w:val="center"/>
            </w:pPr>
            <w:r>
              <w:t xml:space="preserve">0,38 </w:t>
            </w:r>
          </w:p>
        </w:tc>
      </w:tr>
      <w:tr w:rsidR="005B1006" w14:paraId="5B0C53B0"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5F606776" w14:textId="77777777" w:rsidR="005B1006" w:rsidRDefault="005B1006" w:rsidP="00A250AE">
            <w:pPr>
              <w:spacing w:after="0" w:line="259" w:lineRule="auto"/>
              <w:ind w:left="0" w:firstLine="0"/>
            </w:pPr>
            <w:r>
              <w:t xml:space="preserve">RK (95% TI) </w:t>
            </w:r>
          </w:p>
        </w:tc>
        <w:tc>
          <w:tcPr>
            <w:tcW w:w="2884" w:type="dxa"/>
            <w:tcBorders>
              <w:top w:val="single" w:sz="4" w:space="0" w:color="000000"/>
              <w:left w:val="single" w:sz="4" w:space="0" w:color="000000"/>
              <w:bottom w:val="single" w:sz="4" w:space="0" w:color="000000"/>
              <w:right w:val="single" w:sz="4" w:space="0" w:color="000000"/>
            </w:tcBorders>
          </w:tcPr>
          <w:p w14:paraId="106E1162" w14:textId="77777777" w:rsidR="005B1006" w:rsidRDefault="005B1006" w:rsidP="00A250AE">
            <w:pPr>
              <w:spacing w:after="0" w:line="259" w:lineRule="auto"/>
              <w:ind w:left="8" w:firstLine="0"/>
              <w:jc w:val="center"/>
            </w:pPr>
            <w:r>
              <w:t xml:space="preserve">0,55 (0,36, 0,84) </w:t>
            </w:r>
          </w:p>
        </w:tc>
        <w:tc>
          <w:tcPr>
            <w:tcW w:w="2483" w:type="dxa"/>
            <w:tcBorders>
              <w:top w:val="single" w:sz="4" w:space="0" w:color="000000"/>
              <w:left w:val="single" w:sz="4" w:space="0" w:color="000000"/>
              <w:bottom w:val="single" w:sz="4" w:space="0" w:color="000000"/>
              <w:right w:val="single" w:sz="4" w:space="0" w:color="000000"/>
            </w:tcBorders>
          </w:tcPr>
          <w:p w14:paraId="699D8536" w14:textId="77777777" w:rsidR="005B1006" w:rsidRDefault="005B1006" w:rsidP="00A250AE">
            <w:pPr>
              <w:spacing w:after="0" w:line="259" w:lineRule="auto"/>
              <w:ind w:left="65" w:firstLine="0"/>
              <w:jc w:val="center"/>
            </w:pPr>
            <w:r>
              <w:t xml:space="preserve"> </w:t>
            </w:r>
          </w:p>
        </w:tc>
      </w:tr>
      <w:tr w:rsidR="005B1006" w14:paraId="59B53917" w14:textId="77777777" w:rsidTr="00A250AE">
        <w:trPr>
          <w:trHeight w:val="301"/>
        </w:trPr>
        <w:tc>
          <w:tcPr>
            <w:tcW w:w="3419" w:type="dxa"/>
            <w:tcBorders>
              <w:top w:val="single" w:sz="4" w:space="0" w:color="000000"/>
              <w:left w:val="single" w:sz="4" w:space="0" w:color="000000"/>
              <w:bottom w:val="single" w:sz="4" w:space="0" w:color="000000"/>
              <w:right w:val="single" w:sz="4" w:space="0" w:color="000000"/>
            </w:tcBorders>
            <w:shd w:val="clear" w:color="auto" w:fill="D9D9D9"/>
          </w:tcPr>
          <w:p w14:paraId="02F3766F" w14:textId="77777777" w:rsidR="005B1006" w:rsidRDefault="005B1006" w:rsidP="00A250AE">
            <w:pPr>
              <w:spacing w:after="0" w:line="259" w:lineRule="auto"/>
              <w:ind w:left="0" w:firstLine="0"/>
            </w:pPr>
            <w:r>
              <w:rPr>
                <w:b/>
              </w:rPr>
              <w:t xml:space="preserve">KNMB asiņošana </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14:paraId="51133E97" w14:textId="77777777" w:rsidR="005B1006" w:rsidRDefault="005B1006" w:rsidP="00A250AE">
            <w:pPr>
              <w:spacing w:after="0" w:line="259" w:lineRule="auto"/>
              <w:ind w:left="62" w:firstLine="0"/>
              <w:jc w:val="center"/>
            </w:pPr>
            <w: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D9D9D9"/>
          </w:tcPr>
          <w:p w14:paraId="6A54FE86" w14:textId="77777777" w:rsidR="005B1006" w:rsidRDefault="005B1006" w:rsidP="00A250AE">
            <w:pPr>
              <w:spacing w:after="0" w:line="259" w:lineRule="auto"/>
              <w:ind w:left="65" w:firstLine="0"/>
              <w:jc w:val="center"/>
            </w:pPr>
            <w:r>
              <w:t xml:space="preserve"> </w:t>
            </w:r>
          </w:p>
        </w:tc>
      </w:tr>
      <w:tr w:rsidR="005B1006" w14:paraId="24D903CA"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185BFC1A" w14:textId="77777777" w:rsidR="005B1006" w:rsidRDefault="005B1006" w:rsidP="00A250AE">
            <w:pPr>
              <w:spacing w:after="0" w:line="259" w:lineRule="auto"/>
              <w:ind w:left="0" w:firstLine="0"/>
            </w:pPr>
            <w:r>
              <w:t xml:space="preserve">n </w:t>
            </w:r>
          </w:p>
        </w:tc>
        <w:tc>
          <w:tcPr>
            <w:tcW w:w="2884" w:type="dxa"/>
            <w:tcBorders>
              <w:top w:val="single" w:sz="4" w:space="0" w:color="000000"/>
              <w:left w:val="single" w:sz="4" w:space="0" w:color="000000"/>
              <w:bottom w:val="single" w:sz="4" w:space="0" w:color="000000"/>
              <w:right w:val="single" w:sz="4" w:space="0" w:color="000000"/>
            </w:tcBorders>
          </w:tcPr>
          <w:p w14:paraId="1BE335A2" w14:textId="77777777" w:rsidR="005B1006" w:rsidRDefault="005B1006" w:rsidP="00A250AE">
            <w:pPr>
              <w:spacing w:after="0" w:line="259" w:lineRule="auto"/>
              <w:ind w:left="9" w:firstLine="0"/>
              <w:jc w:val="center"/>
            </w:pPr>
            <w:r>
              <w:t xml:space="preserve">1214 </w:t>
            </w:r>
          </w:p>
        </w:tc>
        <w:tc>
          <w:tcPr>
            <w:tcW w:w="2483" w:type="dxa"/>
            <w:tcBorders>
              <w:top w:val="single" w:sz="4" w:space="0" w:color="000000"/>
              <w:left w:val="single" w:sz="4" w:space="0" w:color="000000"/>
              <w:bottom w:val="single" w:sz="4" w:space="0" w:color="000000"/>
              <w:right w:val="single" w:sz="4" w:space="0" w:color="000000"/>
            </w:tcBorders>
          </w:tcPr>
          <w:p w14:paraId="768D4690" w14:textId="77777777" w:rsidR="005B1006" w:rsidRDefault="005B1006" w:rsidP="00A250AE">
            <w:pPr>
              <w:spacing w:after="0" w:line="259" w:lineRule="auto"/>
              <w:ind w:left="12" w:firstLine="0"/>
              <w:jc w:val="center"/>
            </w:pPr>
            <w:r>
              <w:t xml:space="preserve">1396 </w:t>
            </w:r>
          </w:p>
        </w:tc>
      </w:tr>
      <w:tr w:rsidR="005B1006" w14:paraId="68B0C5BC"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3473316D" w14:textId="77777777" w:rsidR="005B1006" w:rsidRDefault="005B1006" w:rsidP="00A250AE">
            <w:pPr>
              <w:spacing w:after="0" w:line="259" w:lineRule="auto"/>
              <w:ind w:left="0" w:firstLine="0"/>
            </w:pPr>
            <w:r>
              <w:t>Notikumu rādītājs (%/g.)</w:t>
            </w:r>
            <w:r>
              <w:rPr>
                <w:vertAlign w:val="superscript"/>
              </w:rPr>
              <w:t>a</w:t>
            </w:r>
            <w:r>
              <w:t xml:space="preserve"> </w:t>
            </w:r>
          </w:p>
        </w:tc>
        <w:tc>
          <w:tcPr>
            <w:tcW w:w="2884" w:type="dxa"/>
            <w:tcBorders>
              <w:top w:val="single" w:sz="4" w:space="0" w:color="000000"/>
              <w:left w:val="single" w:sz="4" w:space="0" w:color="000000"/>
              <w:bottom w:val="single" w:sz="4" w:space="0" w:color="000000"/>
              <w:right w:val="single" w:sz="4" w:space="0" w:color="000000"/>
            </w:tcBorders>
          </w:tcPr>
          <w:p w14:paraId="423C02A8" w14:textId="77777777" w:rsidR="005B1006" w:rsidRDefault="005B1006" w:rsidP="00A250AE">
            <w:pPr>
              <w:spacing w:after="0" w:line="259" w:lineRule="auto"/>
              <w:ind w:left="9" w:firstLine="0"/>
              <w:jc w:val="center"/>
            </w:pPr>
            <w:r>
              <w:t xml:space="preserve">8,67 </w:t>
            </w:r>
          </w:p>
        </w:tc>
        <w:tc>
          <w:tcPr>
            <w:tcW w:w="2483" w:type="dxa"/>
            <w:tcBorders>
              <w:top w:val="single" w:sz="4" w:space="0" w:color="000000"/>
              <w:left w:val="single" w:sz="4" w:space="0" w:color="000000"/>
              <w:bottom w:val="single" w:sz="4" w:space="0" w:color="000000"/>
              <w:right w:val="single" w:sz="4" w:space="0" w:color="000000"/>
            </w:tcBorders>
          </w:tcPr>
          <w:p w14:paraId="133EBBA1" w14:textId="77777777" w:rsidR="005B1006" w:rsidRDefault="005B1006" w:rsidP="00A250AE">
            <w:pPr>
              <w:spacing w:after="0" w:line="259" w:lineRule="auto"/>
              <w:ind w:left="11" w:firstLine="0"/>
              <w:jc w:val="center"/>
            </w:pPr>
            <w:r>
              <w:t xml:space="preserve">10,15 </w:t>
            </w:r>
          </w:p>
        </w:tc>
      </w:tr>
      <w:tr w:rsidR="005B1006" w14:paraId="2EB3FC01"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609EAA9E" w14:textId="77777777" w:rsidR="005B1006" w:rsidRDefault="005B1006" w:rsidP="00A250AE">
            <w:pPr>
              <w:spacing w:after="0" w:line="259" w:lineRule="auto"/>
              <w:ind w:left="0" w:firstLine="0"/>
            </w:pPr>
            <w:r>
              <w:t xml:space="preserve">RK (95% TI) </w:t>
            </w:r>
          </w:p>
        </w:tc>
        <w:tc>
          <w:tcPr>
            <w:tcW w:w="2884" w:type="dxa"/>
            <w:tcBorders>
              <w:top w:val="single" w:sz="4" w:space="0" w:color="000000"/>
              <w:left w:val="single" w:sz="4" w:space="0" w:color="000000"/>
              <w:bottom w:val="single" w:sz="4" w:space="0" w:color="000000"/>
              <w:right w:val="single" w:sz="4" w:space="0" w:color="000000"/>
            </w:tcBorders>
          </w:tcPr>
          <w:p w14:paraId="420449C3" w14:textId="77777777" w:rsidR="005B1006" w:rsidRDefault="005B1006" w:rsidP="00A250AE">
            <w:pPr>
              <w:spacing w:after="0" w:line="259" w:lineRule="auto"/>
              <w:ind w:left="8" w:firstLine="0"/>
              <w:jc w:val="center"/>
            </w:pPr>
            <w:r>
              <w:t xml:space="preserve">0,86 (0,80, 0,93) </w:t>
            </w:r>
          </w:p>
        </w:tc>
        <w:tc>
          <w:tcPr>
            <w:tcW w:w="2483" w:type="dxa"/>
            <w:tcBorders>
              <w:top w:val="single" w:sz="4" w:space="0" w:color="000000"/>
              <w:left w:val="single" w:sz="4" w:space="0" w:color="000000"/>
              <w:bottom w:val="single" w:sz="4" w:space="0" w:color="000000"/>
              <w:right w:val="single" w:sz="4" w:space="0" w:color="000000"/>
            </w:tcBorders>
          </w:tcPr>
          <w:p w14:paraId="398E99ED" w14:textId="77777777" w:rsidR="005B1006" w:rsidRDefault="005B1006" w:rsidP="00A250AE">
            <w:pPr>
              <w:spacing w:after="0" w:line="259" w:lineRule="auto"/>
              <w:ind w:left="65" w:firstLine="0"/>
              <w:jc w:val="center"/>
            </w:pPr>
            <w:r>
              <w:t xml:space="preserve"> </w:t>
            </w:r>
          </w:p>
        </w:tc>
      </w:tr>
      <w:tr w:rsidR="005B1006" w14:paraId="2002005C" w14:textId="77777777" w:rsidTr="00A250AE">
        <w:trPr>
          <w:trHeight w:val="301"/>
        </w:trPr>
        <w:tc>
          <w:tcPr>
            <w:tcW w:w="3419" w:type="dxa"/>
            <w:tcBorders>
              <w:top w:val="single" w:sz="4" w:space="0" w:color="000000"/>
              <w:left w:val="single" w:sz="4" w:space="0" w:color="000000"/>
              <w:bottom w:val="single" w:sz="4" w:space="0" w:color="000000"/>
              <w:right w:val="single" w:sz="4" w:space="0" w:color="000000"/>
            </w:tcBorders>
            <w:shd w:val="clear" w:color="auto" w:fill="D9D9D9"/>
          </w:tcPr>
          <w:p w14:paraId="49D78336" w14:textId="77777777" w:rsidR="005B1006" w:rsidRDefault="005B1006" w:rsidP="00A250AE">
            <w:pPr>
              <w:spacing w:after="0" w:line="259" w:lineRule="auto"/>
              <w:ind w:left="0" w:firstLine="0"/>
            </w:pPr>
            <w:r>
              <w:rPr>
                <w:b/>
              </w:rPr>
              <w:t>Jebkāda apstiprināta asiņošana</w:t>
            </w:r>
            <w:r>
              <w:rPr>
                <w:b/>
                <w:vertAlign w:val="superscript"/>
              </w:rPr>
              <w:t>c</w:t>
            </w:r>
            <w:r>
              <w:rPr>
                <w:b/>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14:paraId="6BD18814" w14:textId="77777777" w:rsidR="005B1006" w:rsidRDefault="005B1006" w:rsidP="00A250AE">
            <w:pPr>
              <w:spacing w:after="0" w:line="259" w:lineRule="auto"/>
              <w:ind w:left="62" w:firstLine="0"/>
              <w:jc w:val="center"/>
            </w:pPr>
            <w: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D9D9D9"/>
          </w:tcPr>
          <w:p w14:paraId="605E62D2" w14:textId="77777777" w:rsidR="005B1006" w:rsidRDefault="005B1006" w:rsidP="00A250AE">
            <w:pPr>
              <w:spacing w:after="0" w:line="259" w:lineRule="auto"/>
              <w:ind w:left="65" w:firstLine="0"/>
              <w:jc w:val="center"/>
            </w:pPr>
            <w:r>
              <w:t xml:space="preserve"> </w:t>
            </w:r>
          </w:p>
        </w:tc>
      </w:tr>
      <w:tr w:rsidR="005B1006" w14:paraId="322A8246"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07D49CBF" w14:textId="77777777" w:rsidR="005B1006" w:rsidRDefault="005B1006" w:rsidP="00A250AE">
            <w:pPr>
              <w:spacing w:after="0" w:line="259" w:lineRule="auto"/>
              <w:ind w:left="0" w:firstLine="0"/>
            </w:pPr>
            <w:r>
              <w:t xml:space="preserve">n </w:t>
            </w:r>
          </w:p>
        </w:tc>
        <w:tc>
          <w:tcPr>
            <w:tcW w:w="2884" w:type="dxa"/>
            <w:tcBorders>
              <w:top w:val="single" w:sz="4" w:space="0" w:color="000000"/>
              <w:left w:val="single" w:sz="4" w:space="0" w:color="000000"/>
              <w:bottom w:val="single" w:sz="4" w:space="0" w:color="000000"/>
              <w:right w:val="single" w:sz="4" w:space="0" w:color="000000"/>
            </w:tcBorders>
          </w:tcPr>
          <w:p w14:paraId="028DFE44" w14:textId="77777777" w:rsidR="005B1006" w:rsidRDefault="005B1006" w:rsidP="00A250AE">
            <w:pPr>
              <w:spacing w:after="0" w:line="259" w:lineRule="auto"/>
              <w:ind w:left="9" w:firstLine="0"/>
              <w:jc w:val="center"/>
            </w:pPr>
            <w:r>
              <w:t xml:space="preserve">1865 </w:t>
            </w:r>
          </w:p>
        </w:tc>
        <w:tc>
          <w:tcPr>
            <w:tcW w:w="2483" w:type="dxa"/>
            <w:tcBorders>
              <w:top w:val="single" w:sz="4" w:space="0" w:color="000000"/>
              <w:left w:val="single" w:sz="4" w:space="0" w:color="000000"/>
              <w:bottom w:val="single" w:sz="4" w:space="0" w:color="000000"/>
              <w:right w:val="single" w:sz="4" w:space="0" w:color="000000"/>
            </w:tcBorders>
          </w:tcPr>
          <w:p w14:paraId="1C6036FE" w14:textId="77777777" w:rsidR="005B1006" w:rsidRDefault="005B1006" w:rsidP="00A250AE">
            <w:pPr>
              <w:spacing w:after="0" w:line="259" w:lineRule="auto"/>
              <w:ind w:left="12" w:firstLine="0"/>
              <w:jc w:val="center"/>
            </w:pPr>
            <w:r>
              <w:t xml:space="preserve">2114 </w:t>
            </w:r>
          </w:p>
        </w:tc>
      </w:tr>
      <w:tr w:rsidR="005B1006" w14:paraId="6B73A8D7"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23D4734D" w14:textId="77777777" w:rsidR="005B1006" w:rsidRDefault="005B1006" w:rsidP="00A250AE">
            <w:pPr>
              <w:spacing w:after="0" w:line="259" w:lineRule="auto"/>
              <w:ind w:left="0" w:firstLine="0"/>
            </w:pPr>
            <w:r>
              <w:t>Notikumu rādītājs (%/g.)</w:t>
            </w:r>
            <w:r>
              <w:rPr>
                <w:vertAlign w:val="superscript"/>
              </w:rPr>
              <w:t>a</w:t>
            </w:r>
            <w:r>
              <w:t xml:space="preserve"> </w:t>
            </w:r>
          </w:p>
        </w:tc>
        <w:tc>
          <w:tcPr>
            <w:tcW w:w="2884" w:type="dxa"/>
            <w:tcBorders>
              <w:top w:val="single" w:sz="4" w:space="0" w:color="000000"/>
              <w:left w:val="single" w:sz="4" w:space="0" w:color="000000"/>
              <w:bottom w:val="single" w:sz="4" w:space="0" w:color="000000"/>
              <w:right w:val="single" w:sz="4" w:space="0" w:color="000000"/>
            </w:tcBorders>
          </w:tcPr>
          <w:p w14:paraId="28580978" w14:textId="77777777" w:rsidR="005B1006" w:rsidRDefault="005B1006" w:rsidP="00A250AE">
            <w:pPr>
              <w:spacing w:after="0" w:line="259" w:lineRule="auto"/>
              <w:ind w:left="7" w:firstLine="0"/>
              <w:jc w:val="center"/>
            </w:pPr>
            <w:r>
              <w:t xml:space="preserve">14,15 </w:t>
            </w:r>
          </w:p>
        </w:tc>
        <w:tc>
          <w:tcPr>
            <w:tcW w:w="2483" w:type="dxa"/>
            <w:tcBorders>
              <w:top w:val="single" w:sz="4" w:space="0" w:color="000000"/>
              <w:left w:val="single" w:sz="4" w:space="0" w:color="000000"/>
              <w:bottom w:val="single" w:sz="4" w:space="0" w:color="000000"/>
              <w:right w:val="single" w:sz="4" w:space="0" w:color="000000"/>
            </w:tcBorders>
          </w:tcPr>
          <w:p w14:paraId="547018C9" w14:textId="77777777" w:rsidR="005B1006" w:rsidRDefault="005B1006" w:rsidP="00A250AE">
            <w:pPr>
              <w:spacing w:after="0" w:line="259" w:lineRule="auto"/>
              <w:ind w:left="11" w:firstLine="0"/>
              <w:jc w:val="center"/>
            </w:pPr>
            <w:r>
              <w:t xml:space="preserve">16,40 </w:t>
            </w:r>
          </w:p>
        </w:tc>
      </w:tr>
      <w:tr w:rsidR="005B1006" w14:paraId="387C9BB7" w14:textId="77777777" w:rsidTr="00A250AE">
        <w:trPr>
          <w:trHeight w:val="304"/>
        </w:trPr>
        <w:tc>
          <w:tcPr>
            <w:tcW w:w="3419" w:type="dxa"/>
            <w:tcBorders>
              <w:top w:val="single" w:sz="4" w:space="0" w:color="000000"/>
              <w:left w:val="single" w:sz="4" w:space="0" w:color="000000"/>
              <w:bottom w:val="single" w:sz="4" w:space="0" w:color="000000"/>
              <w:right w:val="single" w:sz="4" w:space="0" w:color="000000"/>
            </w:tcBorders>
          </w:tcPr>
          <w:p w14:paraId="4F21276E" w14:textId="77777777" w:rsidR="005B1006" w:rsidRDefault="005B1006" w:rsidP="00A250AE">
            <w:pPr>
              <w:spacing w:after="0" w:line="259" w:lineRule="auto"/>
              <w:ind w:left="0" w:firstLine="0"/>
            </w:pPr>
            <w:r>
              <w:t xml:space="preserve">RK (95% TI) </w:t>
            </w:r>
          </w:p>
        </w:tc>
        <w:tc>
          <w:tcPr>
            <w:tcW w:w="2884" w:type="dxa"/>
            <w:tcBorders>
              <w:top w:val="single" w:sz="4" w:space="0" w:color="000000"/>
              <w:left w:val="single" w:sz="4" w:space="0" w:color="000000"/>
              <w:bottom w:val="single" w:sz="4" w:space="0" w:color="000000"/>
              <w:right w:val="single" w:sz="4" w:space="0" w:color="000000"/>
            </w:tcBorders>
          </w:tcPr>
          <w:p w14:paraId="45F29362" w14:textId="77777777" w:rsidR="005B1006" w:rsidRDefault="005B1006" w:rsidP="00A250AE">
            <w:pPr>
              <w:spacing w:after="0" w:line="259" w:lineRule="auto"/>
              <w:ind w:left="8" w:firstLine="0"/>
              <w:jc w:val="center"/>
            </w:pPr>
            <w:r>
              <w:t xml:space="preserve">0,87 (0,82, 0,92) </w:t>
            </w:r>
          </w:p>
        </w:tc>
        <w:tc>
          <w:tcPr>
            <w:tcW w:w="2483" w:type="dxa"/>
            <w:tcBorders>
              <w:top w:val="single" w:sz="4" w:space="0" w:color="000000"/>
              <w:left w:val="single" w:sz="4" w:space="0" w:color="000000"/>
              <w:bottom w:val="single" w:sz="4" w:space="0" w:color="000000"/>
              <w:right w:val="single" w:sz="4" w:space="0" w:color="000000"/>
            </w:tcBorders>
          </w:tcPr>
          <w:p w14:paraId="060CEA13" w14:textId="77777777" w:rsidR="005B1006" w:rsidRDefault="005B1006" w:rsidP="00A250AE">
            <w:pPr>
              <w:spacing w:after="0" w:line="259" w:lineRule="auto"/>
              <w:ind w:left="65" w:firstLine="0"/>
              <w:jc w:val="center"/>
            </w:pPr>
            <w:r>
              <w:t xml:space="preserve"> </w:t>
            </w:r>
          </w:p>
        </w:tc>
      </w:tr>
    </w:tbl>
    <w:p w14:paraId="1F6E99E4" w14:textId="77777777" w:rsidR="005B1006" w:rsidRDefault="005B1006" w:rsidP="005B1006">
      <w:pPr>
        <w:spacing w:after="42"/>
        <w:ind w:left="88" w:right="166"/>
      </w:pPr>
      <w:r>
        <w:t xml:space="preserve">Saīsinājumi: IKA = intrakraniāla asiņošana, RK = riska koeficients, salīdzinot ar varfarīnu, TI = ticamības intervāls, KNMB = klīniski nozīmīga mazāk būtiska, n = pacientu skaits ar notikumiem, N = pacientu skaits drošuma populācijā, g. = gads. </w:t>
      </w:r>
      <w:r>
        <w:rPr>
          <w:vertAlign w:val="superscript"/>
        </w:rPr>
        <w:t>a</w:t>
      </w:r>
      <w:r>
        <w:t xml:space="preserve"> Notikumu rādītāju (%/g.) aprēķina kā notikumu skaits/iedarbības ilgums pacientgados. </w:t>
      </w:r>
      <w:r>
        <w:rPr>
          <w:vertAlign w:val="superscript"/>
        </w:rPr>
        <w:t>b</w:t>
      </w:r>
      <w:r>
        <w:t xml:space="preserve"> IKA aptver primāru hemorāģisku insultu, subarahnoidālu asinsizplūdumu, epidurālu/subdurālu </w:t>
      </w:r>
    </w:p>
    <w:p w14:paraId="71129492" w14:textId="77777777" w:rsidR="005B1006" w:rsidRDefault="005B1006" w:rsidP="005B1006">
      <w:pPr>
        <w:spacing w:after="36"/>
        <w:ind w:left="88" w:right="8" w:firstLine="194"/>
      </w:pPr>
      <w:r>
        <w:t xml:space="preserve">asinsizplūdumu un išēmisku insultu ar nozīmīgu hemorāģisku transformāciju. IKA skaitā ietverti visi IKA notikumi, par kuriem ziņots izskatītās cerebrovaskulāras un ne-intrakraniālas asiņošanas elektroniskajās datu reģistrācijas veidlapās (eCRF), kuras apstiprinājuši izskatītāji. </w:t>
      </w:r>
      <w:r>
        <w:rPr>
          <w:vertAlign w:val="superscript"/>
        </w:rPr>
        <w:t>c</w:t>
      </w:r>
      <w:r>
        <w:t xml:space="preserve"> Jebkāda apstiprināta asiņošana: ietvertas asiņošanas, ko izskatītājs definējis kā klīniski atklātas. </w:t>
      </w:r>
    </w:p>
    <w:p w14:paraId="70DA8F96" w14:textId="77777777" w:rsidR="005B1006" w:rsidRDefault="005B1006" w:rsidP="005B1006">
      <w:pPr>
        <w:spacing w:after="47" w:line="259" w:lineRule="auto"/>
        <w:ind w:left="102" w:firstLine="0"/>
      </w:pPr>
      <w:r>
        <w:t xml:space="preserve"> </w:t>
      </w:r>
    </w:p>
    <w:p w14:paraId="0BC352B9" w14:textId="77777777" w:rsidR="005B1006" w:rsidRDefault="005B1006" w:rsidP="005B1006">
      <w:pPr>
        <w:spacing w:line="321" w:lineRule="auto"/>
        <w:ind w:left="102" w:right="8"/>
      </w:pPr>
      <w:r>
        <w:t xml:space="preserve">Piezīme. Pacients var būt pieskaitīts vairākās apakškategorijās, ja viņam novērota kāds šo kategoriju notikums. Analīzē ietverta katras kategorijas pirmais notikums. </w:t>
      </w:r>
    </w:p>
    <w:p w14:paraId="5F4945F7" w14:textId="77777777" w:rsidR="005B1006" w:rsidRDefault="005B1006" w:rsidP="005B1006">
      <w:pPr>
        <w:spacing w:after="46" w:line="259" w:lineRule="auto"/>
        <w:ind w:firstLine="0"/>
      </w:pPr>
      <w:r>
        <w:t xml:space="preserve"> </w:t>
      </w:r>
    </w:p>
    <w:p w14:paraId="190E0EDE" w14:textId="77777777" w:rsidR="005B1006" w:rsidRDefault="005B1006" w:rsidP="005B1006">
      <w:pPr>
        <w:spacing w:line="321" w:lineRule="auto"/>
        <w:ind w:left="-10" w:right="8"/>
      </w:pPr>
      <w:r>
        <w:t xml:space="preserve">7., 8. un 9. tabulā atainotas attiecīgi būtiskas, letālas un intrakraniālas asiņošanas NVPM pacientiem atbilstoši CrCl kategorijai pētījumā „ENGAGE AF-TIMI 48”. Abās terapijas grupās jo lielāks ir CrCl, jo mazāks ir notikumu rādītājs. </w:t>
      </w:r>
    </w:p>
    <w:p w14:paraId="4B5D10F9" w14:textId="77777777" w:rsidR="005B1006" w:rsidRDefault="005B1006" w:rsidP="005B1006">
      <w:pPr>
        <w:spacing w:after="0" w:line="259" w:lineRule="auto"/>
        <w:ind w:left="3" w:firstLine="0"/>
      </w:pPr>
      <w:r>
        <w:t xml:space="preserve"> </w:t>
      </w:r>
    </w:p>
    <w:p w14:paraId="4C60EE62" w14:textId="77777777" w:rsidR="005B1006" w:rsidRDefault="005B1006" w:rsidP="005B1006">
      <w:pPr>
        <w:pStyle w:val="Heading4"/>
        <w:ind w:left="941" w:right="0" w:hanging="951"/>
      </w:pPr>
      <w:r>
        <w:t>7. tabula. Būtiskas asiņošanas notikumu skaits atbilstoši CrCl kategorijai ENGAGE AF-TIMI 48, drošuma analīze ārstēšanās laikā</w:t>
      </w:r>
      <w:r>
        <w:rPr>
          <w:vertAlign w:val="superscript"/>
        </w:rPr>
        <w:t>a</w:t>
      </w:r>
      <w:r>
        <w:t xml:space="preserve"> </w:t>
      </w:r>
    </w:p>
    <w:tbl>
      <w:tblPr>
        <w:tblStyle w:val="TableGrid"/>
        <w:tblW w:w="9138" w:type="dxa"/>
        <w:tblInd w:w="68" w:type="dxa"/>
        <w:tblCellMar>
          <w:top w:w="0" w:type="dxa"/>
          <w:left w:w="55" w:type="dxa"/>
          <w:bottom w:w="0" w:type="dxa"/>
          <w:right w:w="15" w:type="dxa"/>
        </w:tblCellMar>
        <w:tblLook w:val="04A0" w:firstRow="1" w:lastRow="0" w:firstColumn="1" w:lastColumn="0" w:noHBand="0" w:noVBand="1"/>
      </w:tblPr>
      <w:tblGrid>
        <w:gridCol w:w="1468"/>
        <w:gridCol w:w="742"/>
        <w:gridCol w:w="1050"/>
        <w:gridCol w:w="1133"/>
        <w:gridCol w:w="730"/>
        <w:gridCol w:w="1112"/>
        <w:gridCol w:w="1134"/>
        <w:gridCol w:w="1769"/>
      </w:tblGrid>
      <w:tr w:rsidR="005B1006" w14:paraId="3E68A2BD" w14:textId="77777777" w:rsidTr="00A250AE">
        <w:trPr>
          <w:trHeight w:val="569"/>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DA5FBD8" w14:textId="77777777" w:rsidR="005B1006" w:rsidRDefault="005B1006" w:rsidP="00A250AE">
            <w:pPr>
              <w:spacing w:after="53" w:line="225" w:lineRule="auto"/>
              <w:ind w:left="0" w:firstLine="0"/>
              <w:jc w:val="center"/>
            </w:pPr>
            <w:r>
              <w:rPr>
                <w:b/>
              </w:rPr>
              <w:t xml:space="preserve">CrCl apakšgrupa </w:t>
            </w:r>
          </w:p>
          <w:p w14:paraId="23BB69EF" w14:textId="77777777" w:rsidR="005B1006" w:rsidRDefault="005B1006" w:rsidP="00A250AE">
            <w:pPr>
              <w:spacing w:after="0" w:line="259" w:lineRule="auto"/>
              <w:ind w:left="0" w:right="44" w:firstLine="0"/>
              <w:jc w:val="center"/>
            </w:pPr>
            <w:r>
              <w:rPr>
                <w:b/>
              </w:rPr>
              <w:t xml:space="preserve">(ml/min) </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7DBAED8" w14:textId="77777777" w:rsidR="005B1006" w:rsidRDefault="005B1006" w:rsidP="00A250AE">
            <w:pPr>
              <w:spacing w:after="0" w:line="259" w:lineRule="auto"/>
              <w:ind w:left="410" w:right="397" w:firstLine="0"/>
              <w:jc w:val="center"/>
            </w:pPr>
            <w:r>
              <w:rPr>
                <w:b/>
              </w:rPr>
              <w:t xml:space="preserve">Edoksabāns 60 mg (N = 7012) </w:t>
            </w:r>
          </w:p>
        </w:tc>
        <w:tc>
          <w:tcPr>
            <w:tcW w:w="730" w:type="dxa"/>
            <w:tcBorders>
              <w:top w:val="single" w:sz="4" w:space="0" w:color="000000"/>
              <w:left w:val="single" w:sz="4" w:space="0" w:color="000000"/>
              <w:bottom w:val="single" w:sz="4" w:space="0" w:color="000000"/>
              <w:right w:val="nil"/>
            </w:tcBorders>
            <w:shd w:val="clear" w:color="auto" w:fill="D9D9D9"/>
          </w:tcPr>
          <w:p w14:paraId="71CF7712" w14:textId="77777777" w:rsidR="005B1006" w:rsidRDefault="005B1006" w:rsidP="00A250AE">
            <w:pPr>
              <w:spacing w:after="160" w:line="259" w:lineRule="auto"/>
              <w:ind w:left="0" w:firstLine="0"/>
            </w:pPr>
          </w:p>
        </w:tc>
        <w:tc>
          <w:tcPr>
            <w:tcW w:w="2246" w:type="dxa"/>
            <w:gridSpan w:val="2"/>
            <w:tcBorders>
              <w:top w:val="single" w:sz="4" w:space="0" w:color="000000"/>
              <w:left w:val="nil"/>
              <w:bottom w:val="single" w:sz="4" w:space="0" w:color="000000"/>
              <w:right w:val="single" w:sz="4" w:space="0" w:color="000000"/>
            </w:tcBorders>
            <w:shd w:val="clear" w:color="auto" w:fill="D9D9D9"/>
          </w:tcPr>
          <w:p w14:paraId="3F17EF3E" w14:textId="77777777" w:rsidR="005B1006" w:rsidRDefault="005B1006" w:rsidP="00A250AE">
            <w:pPr>
              <w:spacing w:after="0" w:line="259" w:lineRule="auto"/>
              <w:ind w:left="212" w:right="728" w:firstLine="32"/>
            </w:pPr>
            <w:r>
              <w:rPr>
                <w:b/>
              </w:rPr>
              <w:t xml:space="preserve">Varfarīns (N = 7012) </w:t>
            </w:r>
          </w:p>
        </w:tc>
        <w:tc>
          <w:tcPr>
            <w:tcW w:w="1769" w:type="dxa"/>
            <w:tcBorders>
              <w:top w:val="single" w:sz="4" w:space="0" w:color="000000"/>
              <w:left w:val="single" w:sz="4" w:space="0" w:color="000000"/>
              <w:bottom w:val="single" w:sz="4" w:space="0" w:color="000000"/>
              <w:right w:val="single" w:sz="4" w:space="0" w:color="000000"/>
            </w:tcBorders>
            <w:shd w:val="clear" w:color="auto" w:fill="D9D9D9"/>
          </w:tcPr>
          <w:p w14:paraId="1441E130" w14:textId="77777777" w:rsidR="005B1006" w:rsidRDefault="005B1006" w:rsidP="00A250AE">
            <w:pPr>
              <w:spacing w:after="0" w:line="259" w:lineRule="auto"/>
              <w:ind w:left="14" w:firstLine="0"/>
              <w:jc w:val="center"/>
            </w:pPr>
            <w:r>
              <w:rPr>
                <w:b/>
              </w:rPr>
              <w:t xml:space="preserve"> </w:t>
            </w:r>
          </w:p>
        </w:tc>
      </w:tr>
      <w:tr w:rsidR="005B1006" w14:paraId="69460A71" w14:textId="77777777" w:rsidTr="00A250AE">
        <w:trPr>
          <w:trHeight w:val="818"/>
        </w:trPr>
        <w:tc>
          <w:tcPr>
            <w:tcW w:w="0" w:type="auto"/>
            <w:vMerge/>
            <w:tcBorders>
              <w:top w:val="nil"/>
              <w:left w:val="single" w:sz="4" w:space="0" w:color="000000"/>
              <w:bottom w:val="single" w:sz="4" w:space="0" w:color="000000"/>
              <w:right w:val="single" w:sz="4" w:space="0" w:color="000000"/>
            </w:tcBorders>
          </w:tcPr>
          <w:p w14:paraId="4F37FE42" w14:textId="77777777" w:rsidR="005B1006" w:rsidRDefault="005B1006" w:rsidP="00A250AE">
            <w:pPr>
              <w:spacing w:after="160" w:line="259" w:lineRule="auto"/>
              <w:ind w:left="0" w:firstLine="0"/>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14:paraId="3221FC66" w14:textId="77777777" w:rsidR="005B1006" w:rsidRDefault="005B1006" w:rsidP="00A250AE">
            <w:pPr>
              <w:spacing w:after="0" w:line="259" w:lineRule="auto"/>
              <w:ind w:left="0" w:right="41" w:firstLine="0"/>
              <w:jc w:val="center"/>
            </w:pPr>
            <w:r>
              <w:rPr>
                <w:b/>
              </w:rPr>
              <w:t xml:space="preserve">n </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5CDCA766" w14:textId="77777777" w:rsidR="005B1006" w:rsidRDefault="005B1006" w:rsidP="00A250AE">
            <w:pPr>
              <w:spacing w:after="0" w:line="259" w:lineRule="auto"/>
              <w:ind w:left="0" w:firstLine="0"/>
              <w:jc w:val="center"/>
            </w:pPr>
            <w:r>
              <w:rPr>
                <w:b/>
                <w:sz w:val="20"/>
              </w:rPr>
              <w:t xml:space="preserve">Notikumu skaits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180EE5CC" w14:textId="77777777" w:rsidR="005B1006" w:rsidRDefault="005B1006" w:rsidP="00A250AE">
            <w:pPr>
              <w:spacing w:after="58" w:line="319" w:lineRule="auto"/>
              <w:ind w:left="0" w:firstLine="0"/>
              <w:jc w:val="center"/>
            </w:pPr>
            <w:r>
              <w:rPr>
                <w:b/>
                <w:sz w:val="20"/>
              </w:rPr>
              <w:t>Notikumu rādītājs</w:t>
            </w:r>
            <w:r>
              <w:rPr>
                <w:sz w:val="20"/>
              </w:rPr>
              <w:t xml:space="preserve"> </w:t>
            </w:r>
          </w:p>
          <w:p w14:paraId="0E92929D" w14:textId="77777777" w:rsidR="005B1006" w:rsidRDefault="005B1006" w:rsidP="00A250AE">
            <w:pPr>
              <w:spacing w:after="0" w:line="259" w:lineRule="auto"/>
              <w:ind w:left="110" w:firstLine="0"/>
            </w:pPr>
            <w:r>
              <w:rPr>
                <w:b/>
                <w:sz w:val="20"/>
              </w:rPr>
              <w:t>(%/gadā)</w:t>
            </w:r>
            <w: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280F39CC" w14:textId="77777777" w:rsidR="005B1006" w:rsidRDefault="005B1006" w:rsidP="00A250AE">
            <w:pPr>
              <w:spacing w:after="0" w:line="259" w:lineRule="auto"/>
              <w:ind w:left="0" w:right="43" w:firstLine="0"/>
              <w:jc w:val="center"/>
            </w:pPr>
            <w:r>
              <w:rPr>
                <w:b/>
              </w:rPr>
              <w:t xml:space="preserve">n </w:t>
            </w:r>
          </w:p>
        </w:tc>
        <w:tc>
          <w:tcPr>
            <w:tcW w:w="1112" w:type="dxa"/>
            <w:tcBorders>
              <w:top w:val="single" w:sz="4" w:space="0" w:color="000000"/>
              <w:left w:val="single" w:sz="4" w:space="0" w:color="000000"/>
              <w:bottom w:val="single" w:sz="4" w:space="0" w:color="000000"/>
              <w:right w:val="single" w:sz="4" w:space="0" w:color="000000"/>
            </w:tcBorders>
            <w:shd w:val="clear" w:color="auto" w:fill="D9D9D9"/>
          </w:tcPr>
          <w:p w14:paraId="6B2919C1" w14:textId="77777777" w:rsidR="005B1006" w:rsidRDefault="005B1006" w:rsidP="00A250AE">
            <w:pPr>
              <w:spacing w:after="0" w:line="259" w:lineRule="auto"/>
              <w:ind w:left="0" w:firstLine="0"/>
              <w:jc w:val="center"/>
            </w:pPr>
            <w:r>
              <w:rPr>
                <w:b/>
                <w:sz w:val="20"/>
              </w:rPr>
              <w:t xml:space="preserve">Notikumu skaits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2CDE85E" w14:textId="77777777" w:rsidR="005B1006" w:rsidRDefault="005B1006" w:rsidP="00A250AE">
            <w:pPr>
              <w:spacing w:after="48" w:line="305" w:lineRule="auto"/>
              <w:ind w:left="0" w:firstLine="0"/>
              <w:jc w:val="center"/>
            </w:pPr>
            <w:r>
              <w:rPr>
                <w:b/>
                <w:sz w:val="20"/>
              </w:rPr>
              <w:t xml:space="preserve">Notikumu rādītājs </w:t>
            </w:r>
          </w:p>
          <w:p w14:paraId="50581D50" w14:textId="77777777" w:rsidR="005B1006" w:rsidRDefault="005B1006" w:rsidP="00A250AE">
            <w:pPr>
              <w:spacing w:after="0" w:line="259" w:lineRule="auto"/>
              <w:ind w:left="112" w:firstLine="0"/>
            </w:pPr>
            <w:r>
              <w:rPr>
                <w:b/>
                <w:sz w:val="20"/>
              </w:rPr>
              <w:t xml:space="preserve">(%/gadā) </w:t>
            </w:r>
          </w:p>
        </w:tc>
        <w:tc>
          <w:tcPr>
            <w:tcW w:w="1769" w:type="dxa"/>
            <w:tcBorders>
              <w:top w:val="single" w:sz="4" w:space="0" w:color="000000"/>
              <w:left w:val="single" w:sz="4" w:space="0" w:color="000000"/>
              <w:bottom w:val="single" w:sz="4" w:space="0" w:color="000000"/>
              <w:right w:val="single" w:sz="4" w:space="0" w:color="000000"/>
            </w:tcBorders>
            <w:shd w:val="clear" w:color="auto" w:fill="D9D9D9"/>
          </w:tcPr>
          <w:p w14:paraId="5F69649F" w14:textId="77777777" w:rsidR="005B1006" w:rsidRDefault="005B1006" w:rsidP="00A250AE">
            <w:pPr>
              <w:spacing w:after="0" w:line="259" w:lineRule="auto"/>
              <w:ind w:left="0" w:right="39" w:firstLine="0"/>
              <w:jc w:val="center"/>
            </w:pPr>
            <w:r>
              <w:rPr>
                <w:b/>
              </w:rPr>
              <w:t xml:space="preserve">HR (95% TI) </w:t>
            </w:r>
          </w:p>
        </w:tc>
      </w:tr>
      <w:tr w:rsidR="005B1006" w14:paraId="3CAECCF8"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3F0B735B" w14:textId="77777777" w:rsidR="005B1006" w:rsidRDefault="005B1006" w:rsidP="00A250AE">
            <w:pPr>
              <w:spacing w:after="0" w:line="259" w:lineRule="auto"/>
              <w:ind w:left="0" w:firstLine="0"/>
            </w:pPr>
            <w:r>
              <w:t xml:space="preserve">≥ 30 līdz ≤ 50 </w:t>
            </w:r>
          </w:p>
        </w:tc>
        <w:tc>
          <w:tcPr>
            <w:tcW w:w="742" w:type="dxa"/>
            <w:tcBorders>
              <w:top w:val="single" w:sz="4" w:space="0" w:color="000000"/>
              <w:left w:val="single" w:sz="4" w:space="0" w:color="000000"/>
              <w:bottom w:val="single" w:sz="4" w:space="0" w:color="000000"/>
              <w:right w:val="single" w:sz="4" w:space="0" w:color="000000"/>
            </w:tcBorders>
          </w:tcPr>
          <w:p w14:paraId="35554FE3" w14:textId="77777777" w:rsidR="005B1006" w:rsidRDefault="005B1006" w:rsidP="00A250AE">
            <w:pPr>
              <w:spacing w:after="0" w:line="259" w:lineRule="auto"/>
              <w:ind w:left="95" w:firstLine="0"/>
            </w:pPr>
            <w:r>
              <w:t xml:space="preserve">1302 </w:t>
            </w:r>
          </w:p>
        </w:tc>
        <w:tc>
          <w:tcPr>
            <w:tcW w:w="1050" w:type="dxa"/>
            <w:tcBorders>
              <w:top w:val="single" w:sz="4" w:space="0" w:color="000000"/>
              <w:left w:val="single" w:sz="4" w:space="0" w:color="000000"/>
              <w:bottom w:val="single" w:sz="4" w:space="0" w:color="000000"/>
              <w:right w:val="single" w:sz="4" w:space="0" w:color="000000"/>
            </w:tcBorders>
          </w:tcPr>
          <w:p w14:paraId="24E68B89" w14:textId="77777777" w:rsidR="005B1006" w:rsidRDefault="005B1006" w:rsidP="00A250AE">
            <w:pPr>
              <w:spacing w:after="0" w:line="259" w:lineRule="auto"/>
              <w:ind w:left="0" w:right="40" w:firstLine="0"/>
              <w:jc w:val="center"/>
            </w:pPr>
            <w:r>
              <w:t xml:space="preserve">96 </w:t>
            </w:r>
          </w:p>
        </w:tc>
        <w:tc>
          <w:tcPr>
            <w:tcW w:w="1133" w:type="dxa"/>
            <w:tcBorders>
              <w:top w:val="single" w:sz="4" w:space="0" w:color="000000"/>
              <w:left w:val="single" w:sz="4" w:space="0" w:color="000000"/>
              <w:bottom w:val="single" w:sz="4" w:space="0" w:color="000000"/>
              <w:right w:val="single" w:sz="4" w:space="0" w:color="000000"/>
            </w:tcBorders>
          </w:tcPr>
          <w:p w14:paraId="3B83D8F7" w14:textId="77777777" w:rsidR="005B1006" w:rsidRDefault="005B1006" w:rsidP="00A250AE">
            <w:pPr>
              <w:spacing w:after="0" w:line="259" w:lineRule="auto"/>
              <w:ind w:left="0" w:right="41" w:firstLine="0"/>
              <w:jc w:val="center"/>
            </w:pPr>
            <w:r>
              <w:t xml:space="preserve">3,91 </w:t>
            </w:r>
          </w:p>
        </w:tc>
        <w:tc>
          <w:tcPr>
            <w:tcW w:w="730" w:type="dxa"/>
            <w:tcBorders>
              <w:top w:val="single" w:sz="4" w:space="0" w:color="000000"/>
              <w:left w:val="single" w:sz="4" w:space="0" w:color="000000"/>
              <w:bottom w:val="single" w:sz="4" w:space="0" w:color="000000"/>
              <w:right w:val="single" w:sz="4" w:space="0" w:color="000000"/>
            </w:tcBorders>
          </w:tcPr>
          <w:p w14:paraId="4C275F89" w14:textId="77777777" w:rsidR="005B1006" w:rsidRDefault="005B1006" w:rsidP="00A250AE">
            <w:pPr>
              <w:spacing w:after="0" w:line="259" w:lineRule="auto"/>
              <w:ind w:left="89" w:firstLine="0"/>
            </w:pPr>
            <w:r>
              <w:t xml:space="preserve">1305 </w:t>
            </w:r>
          </w:p>
        </w:tc>
        <w:tc>
          <w:tcPr>
            <w:tcW w:w="1112" w:type="dxa"/>
            <w:tcBorders>
              <w:top w:val="single" w:sz="4" w:space="0" w:color="000000"/>
              <w:left w:val="single" w:sz="4" w:space="0" w:color="000000"/>
              <w:bottom w:val="single" w:sz="4" w:space="0" w:color="000000"/>
              <w:right w:val="single" w:sz="4" w:space="0" w:color="000000"/>
            </w:tcBorders>
          </w:tcPr>
          <w:p w14:paraId="1D88E283" w14:textId="77777777" w:rsidR="005B1006" w:rsidRDefault="005B1006" w:rsidP="00A250AE">
            <w:pPr>
              <w:spacing w:after="0" w:line="259" w:lineRule="auto"/>
              <w:ind w:left="0" w:right="42" w:firstLine="0"/>
              <w:jc w:val="center"/>
            </w:pPr>
            <w:r>
              <w:t xml:space="preserve">128 </w:t>
            </w:r>
          </w:p>
        </w:tc>
        <w:tc>
          <w:tcPr>
            <w:tcW w:w="1134" w:type="dxa"/>
            <w:tcBorders>
              <w:top w:val="single" w:sz="4" w:space="0" w:color="000000"/>
              <w:left w:val="single" w:sz="4" w:space="0" w:color="000000"/>
              <w:bottom w:val="single" w:sz="4" w:space="0" w:color="000000"/>
              <w:right w:val="single" w:sz="4" w:space="0" w:color="000000"/>
            </w:tcBorders>
          </w:tcPr>
          <w:p w14:paraId="276689F7" w14:textId="77777777" w:rsidR="005B1006" w:rsidRDefault="005B1006" w:rsidP="00A250AE">
            <w:pPr>
              <w:spacing w:after="0" w:line="259" w:lineRule="auto"/>
              <w:ind w:left="0" w:right="40" w:firstLine="0"/>
              <w:jc w:val="center"/>
            </w:pPr>
            <w:r>
              <w:t xml:space="preserve">5,23 </w:t>
            </w:r>
          </w:p>
        </w:tc>
        <w:tc>
          <w:tcPr>
            <w:tcW w:w="1769" w:type="dxa"/>
            <w:tcBorders>
              <w:top w:val="single" w:sz="4" w:space="0" w:color="000000"/>
              <w:left w:val="single" w:sz="4" w:space="0" w:color="000000"/>
              <w:bottom w:val="single" w:sz="4" w:space="0" w:color="000000"/>
              <w:right w:val="single" w:sz="4" w:space="0" w:color="000000"/>
            </w:tcBorders>
          </w:tcPr>
          <w:p w14:paraId="23C7A26C" w14:textId="77777777" w:rsidR="005B1006" w:rsidRDefault="005B1006" w:rsidP="00A250AE">
            <w:pPr>
              <w:spacing w:after="0" w:line="259" w:lineRule="auto"/>
              <w:ind w:left="94" w:firstLine="0"/>
            </w:pPr>
            <w:r>
              <w:t xml:space="preserve">0,75 (0,58; 0,98) </w:t>
            </w:r>
          </w:p>
        </w:tc>
      </w:tr>
      <w:tr w:rsidR="005B1006" w14:paraId="1F21BC94"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18FA27BA" w14:textId="77777777" w:rsidR="005B1006" w:rsidRDefault="005B1006" w:rsidP="00A250AE">
            <w:pPr>
              <w:spacing w:after="0" w:line="259" w:lineRule="auto"/>
              <w:ind w:left="0" w:firstLine="0"/>
            </w:pPr>
            <w:r>
              <w:t xml:space="preserve">&gt; 50 līdz ≤ 70 </w:t>
            </w:r>
          </w:p>
        </w:tc>
        <w:tc>
          <w:tcPr>
            <w:tcW w:w="742" w:type="dxa"/>
            <w:tcBorders>
              <w:top w:val="single" w:sz="4" w:space="0" w:color="000000"/>
              <w:left w:val="single" w:sz="4" w:space="0" w:color="000000"/>
              <w:bottom w:val="single" w:sz="4" w:space="0" w:color="000000"/>
              <w:right w:val="single" w:sz="4" w:space="0" w:color="000000"/>
            </w:tcBorders>
          </w:tcPr>
          <w:p w14:paraId="4FD2D80C" w14:textId="77777777" w:rsidR="005B1006" w:rsidRDefault="005B1006" w:rsidP="00A250AE">
            <w:pPr>
              <w:spacing w:after="0" w:line="259" w:lineRule="auto"/>
              <w:ind w:left="95" w:firstLine="0"/>
            </w:pPr>
            <w:r>
              <w:t xml:space="preserve">2093 </w:t>
            </w:r>
          </w:p>
        </w:tc>
        <w:tc>
          <w:tcPr>
            <w:tcW w:w="1050" w:type="dxa"/>
            <w:tcBorders>
              <w:top w:val="single" w:sz="4" w:space="0" w:color="000000"/>
              <w:left w:val="single" w:sz="4" w:space="0" w:color="000000"/>
              <w:bottom w:val="single" w:sz="4" w:space="0" w:color="000000"/>
              <w:right w:val="single" w:sz="4" w:space="0" w:color="000000"/>
            </w:tcBorders>
          </w:tcPr>
          <w:p w14:paraId="66B71727" w14:textId="77777777" w:rsidR="005B1006" w:rsidRDefault="005B1006" w:rsidP="00A250AE">
            <w:pPr>
              <w:spacing w:after="0" w:line="259" w:lineRule="auto"/>
              <w:ind w:left="0" w:right="40" w:firstLine="0"/>
              <w:jc w:val="center"/>
            </w:pPr>
            <w:r>
              <w:t xml:space="preserve">148 </w:t>
            </w:r>
          </w:p>
        </w:tc>
        <w:tc>
          <w:tcPr>
            <w:tcW w:w="1133" w:type="dxa"/>
            <w:tcBorders>
              <w:top w:val="single" w:sz="4" w:space="0" w:color="000000"/>
              <w:left w:val="single" w:sz="4" w:space="0" w:color="000000"/>
              <w:bottom w:val="single" w:sz="4" w:space="0" w:color="000000"/>
              <w:right w:val="single" w:sz="4" w:space="0" w:color="000000"/>
            </w:tcBorders>
          </w:tcPr>
          <w:p w14:paraId="1900285C" w14:textId="77777777" w:rsidR="005B1006" w:rsidRDefault="005B1006" w:rsidP="00A250AE">
            <w:pPr>
              <w:spacing w:after="0" w:line="259" w:lineRule="auto"/>
              <w:ind w:left="0" w:right="41" w:firstLine="0"/>
              <w:jc w:val="center"/>
            </w:pPr>
            <w:r>
              <w:t xml:space="preserve">3,31 </w:t>
            </w:r>
          </w:p>
        </w:tc>
        <w:tc>
          <w:tcPr>
            <w:tcW w:w="730" w:type="dxa"/>
            <w:tcBorders>
              <w:top w:val="single" w:sz="4" w:space="0" w:color="000000"/>
              <w:left w:val="single" w:sz="4" w:space="0" w:color="000000"/>
              <w:bottom w:val="single" w:sz="4" w:space="0" w:color="000000"/>
              <w:right w:val="single" w:sz="4" w:space="0" w:color="000000"/>
            </w:tcBorders>
          </w:tcPr>
          <w:p w14:paraId="36190832" w14:textId="77777777" w:rsidR="005B1006" w:rsidRDefault="005B1006" w:rsidP="00A250AE">
            <w:pPr>
              <w:spacing w:after="0" w:line="259" w:lineRule="auto"/>
              <w:ind w:left="89" w:firstLine="0"/>
            </w:pPr>
            <w:r>
              <w:t xml:space="preserve">2106 </w:t>
            </w:r>
          </w:p>
        </w:tc>
        <w:tc>
          <w:tcPr>
            <w:tcW w:w="1112" w:type="dxa"/>
            <w:tcBorders>
              <w:top w:val="single" w:sz="4" w:space="0" w:color="000000"/>
              <w:left w:val="single" w:sz="4" w:space="0" w:color="000000"/>
              <w:bottom w:val="single" w:sz="4" w:space="0" w:color="000000"/>
              <w:right w:val="single" w:sz="4" w:space="0" w:color="000000"/>
            </w:tcBorders>
          </w:tcPr>
          <w:p w14:paraId="795C3788" w14:textId="77777777" w:rsidR="005B1006" w:rsidRDefault="005B1006" w:rsidP="00A250AE">
            <w:pPr>
              <w:spacing w:after="0" w:line="259" w:lineRule="auto"/>
              <w:ind w:left="0" w:right="42" w:firstLine="0"/>
              <w:jc w:val="center"/>
            </w:pPr>
            <w:r>
              <w:t xml:space="preserve">171 </w:t>
            </w:r>
          </w:p>
        </w:tc>
        <w:tc>
          <w:tcPr>
            <w:tcW w:w="1134" w:type="dxa"/>
            <w:tcBorders>
              <w:top w:val="single" w:sz="4" w:space="0" w:color="000000"/>
              <w:left w:val="single" w:sz="4" w:space="0" w:color="000000"/>
              <w:bottom w:val="single" w:sz="4" w:space="0" w:color="000000"/>
              <w:right w:val="single" w:sz="4" w:space="0" w:color="000000"/>
            </w:tcBorders>
          </w:tcPr>
          <w:p w14:paraId="61CB66A6" w14:textId="77777777" w:rsidR="005B1006" w:rsidRDefault="005B1006" w:rsidP="00A250AE">
            <w:pPr>
              <w:spacing w:after="0" w:line="259" w:lineRule="auto"/>
              <w:ind w:left="0" w:right="40" w:firstLine="0"/>
              <w:jc w:val="center"/>
            </w:pPr>
            <w:r>
              <w:t xml:space="preserve">3,77 </w:t>
            </w:r>
          </w:p>
        </w:tc>
        <w:tc>
          <w:tcPr>
            <w:tcW w:w="1769" w:type="dxa"/>
            <w:tcBorders>
              <w:top w:val="single" w:sz="4" w:space="0" w:color="000000"/>
              <w:left w:val="single" w:sz="4" w:space="0" w:color="000000"/>
              <w:bottom w:val="single" w:sz="4" w:space="0" w:color="000000"/>
              <w:right w:val="single" w:sz="4" w:space="0" w:color="000000"/>
            </w:tcBorders>
          </w:tcPr>
          <w:p w14:paraId="532DCD17" w14:textId="77777777" w:rsidR="005B1006" w:rsidRDefault="005B1006" w:rsidP="00A250AE">
            <w:pPr>
              <w:spacing w:after="0" w:line="259" w:lineRule="auto"/>
              <w:ind w:left="94" w:firstLine="0"/>
            </w:pPr>
            <w:r>
              <w:t xml:space="preserve">0,88 (0,71; 1,10) </w:t>
            </w:r>
          </w:p>
        </w:tc>
      </w:tr>
      <w:tr w:rsidR="005B1006" w14:paraId="49C3F3BA"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6C4C4FB5" w14:textId="77777777" w:rsidR="005B1006" w:rsidRDefault="005B1006" w:rsidP="00A250AE">
            <w:pPr>
              <w:spacing w:after="0" w:line="259" w:lineRule="auto"/>
              <w:ind w:left="0" w:firstLine="0"/>
            </w:pPr>
            <w:r>
              <w:t xml:space="preserve">&gt; 70 līdz ≤ 90 </w:t>
            </w:r>
          </w:p>
        </w:tc>
        <w:tc>
          <w:tcPr>
            <w:tcW w:w="742" w:type="dxa"/>
            <w:tcBorders>
              <w:top w:val="single" w:sz="4" w:space="0" w:color="000000"/>
              <w:left w:val="single" w:sz="4" w:space="0" w:color="000000"/>
              <w:bottom w:val="single" w:sz="4" w:space="0" w:color="000000"/>
              <w:right w:val="single" w:sz="4" w:space="0" w:color="000000"/>
            </w:tcBorders>
          </w:tcPr>
          <w:p w14:paraId="469AB9B5" w14:textId="77777777" w:rsidR="005B1006" w:rsidRDefault="005B1006" w:rsidP="00A250AE">
            <w:pPr>
              <w:spacing w:after="0" w:line="259" w:lineRule="auto"/>
              <w:ind w:left="95" w:firstLine="0"/>
            </w:pPr>
            <w:r>
              <w:t xml:space="preserve">1661 </w:t>
            </w:r>
          </w:p>
        </w:tc>
        <w:tc>
          <w:tcPr>
            <w:tcW w:w="1050" w:type="dxa"/>
            <w:tcBorders>
              <w:top w:val="single" w:sz="4" w:space="0" w:color="000000"/>
              <w:left w:val="single" w:sz="4" w:space="0" w:color="000000"/>
              <w:bottom w:val="single" w:sz="4" w:space="0" w:color="000000"/>
              <w:right w:val="single" w:sz="4" w:space="0" w:color="000000"/>
            </w:tcBorders>
          </w:tcPr>
          <w:p w14:paraId="38D31E69" w14:textId="77777777" w:rsidR="005B1006" w:rsidRDefault="005B1006" w:rsidP="00A250AE">
            <w:pPr>
              <w:spacing w:after="0" w:line="259" w:lineRule="auto"/>
              <w:ind w:left="0" w:right="40" w:firstLine="0"/>
              <w:jc w:val="center"/>
            </w:pPr>
            <w:r>
              <w:t xml:space="preserve">108 </w:t>
            </w:r>
          </w:p>
        </w:tc>
        <w:tc>
          <w:tcPr>
            <w:tcW w:w="1133" w:type="dxa"/>
            <w:tcBorders>
              <w:top w:val="single" w:sz="4" w:space="0" w:color="000000"/>
              <w:left w:val="single" w:sz="4" w:space="0" w:color="000000"/>
              <w:bottom w:val="single" w:sz="4" w:space="0" w:color="000000"/>
              <w:right w:val="single" w:sz="4" w:space="0" w:color="000000"/>
            </w:tcBorders>
          </w:tcPr>
          <w:p w14:paraId="16426AD4" w14:textId="77777777" w:rsidR="005B1006" w:rsidRDefault="005B1006" w:rsidP="00A250AE">
            <w:pPr>
              <w:spacing w:after="0" w:line="259" w:lineRule="auto"/>
              <w:ind w:left="0" w:right="41" w:firstLine="0"/>
              <w:jc w:val="center"/>
            </w:pPr>
            <w:r>
              <w:t xml:space="preserve">2,88 </w:t>
            </w:r>
          </w:p>
        </w:tc>
        <w:tc>
          <w:tcPr>
            <w:tcW w:w="730" w:type="dxa"/>
            <w:tcBorders>
              <w:top w:val="single" w:sz="4" w:space="0" w:color="000000"/>
              <w:left w:val="single" w:sz="4" w:space="0" w:color="000000"/>
              <w:bottom w:val="single" w:sz="4" w:space="0" w:color="000000"/>
              <w:right w:val="single" w:sz="4" w:space="0" w:color="000000"/>
            </w:tcBorders>
          </w:tcPr>
          <w:p w14:paraId="0D0901D6" w14:textId="77777777" w:rsidR="005B1006" w:rsidRDefault="005B1006" w:rsidP="00A250AE">
            <w:pPr>
              <w:spacing w:after="0" w:line="259" w:lineRule="auto"/>
              <w:ind w:left="89" w:firstLine="0"/>
            </w:pPr>
            <w:r>
              <w:t xml:space="preserve">1703 </w:t>
            </w:r>
          </w:p>
        </w:tc>
        <w:tc>
          <w:tcPr>
            <w:tcW w:w="1112" w:type="dxa"/>
            <w:tcBorders>
              <w:top w:val="single" w:sz="4" w:space="0" w:color="000000"/>
              <w:left w:val="single" w:sz="4" w:space="0" w:color="000000"/>
              <w:bottom w:val="single" w:sz="4" w:space="0" w:color="000000"/>
              <w:right w:val="single" w:sz="4" w:space="0" w:color="000000"/>
            </w:tcBorders>
          </w:tcPr>
          <w:p w14:paraId="2D9838C6" w14:textId="77777777" w:rsidR="005B1006" w:rsidRDefault="005B1006" w:rsidP="00A250AE">
            <w:pPr>
              <w:spacing w:after="0" w:line="259" w:lineRule="auto"/>
              <w:ind w:left="0" w:right="42" w:firstLine="0"/>
              <w:jc w:val="center"/>
            </w:pPr>
            <w:r>
              <w:t xml:space="preserve">119 </w:t>
            </w:r>
          </w:p>
        </w:tc>
        <w:tc>
          <w:tcPr>
            <w:tcW w:w="1134" w:type="dxa"/>
            <w:tcBorders>
              <w:top w:val="single" w:sz="4" w:space="0" w:color="000000"/>
              <w:left w:val="single" w:sz="4" w:space="0" w:color="000000"/>
              <w:bottom w:val="single" w:sz="4" w:space="0" w:color="000000"/>
              <w:right w:val="single" w:sz="4" w:space="0" w:color="000000"/>
            </w:tcBorders>
          </w:tcPr>
          <w:p w14:paraId="43C6C917" w14:textId="77777777" w:rsidR="005B1006" w:rsidRDefault="005B1006" w:rsidP="00A250AE">
            <w:pPr>
              <w:spacing w:after="0" w:line="259" w:lineRule="auto"/>
              <w:ind w:left="0" w:right="40" w:firstLine="0"/>
              <w:jc w:val="center"/>
            </w:pPr>
            <w:r>
              <w:t xml:space="preserve">3,08 </w:t>
            </w:r>
          </w:p>
        </w:tc>
        <w:tc>
          <w:tcPr>
            <w:tcW w:w="1769" w:type="dxa"/>
            <w:tcBorders>
              <w:top w:val="single" w:sz="4" w:space="0" w:color="000000"/>
              <w:left w:val="single" w:sz="4" w:space="0" w:color="000000"/>
              <w:bottom w:val="single" w:sz="4" w:space="0" w:color="000000"/>
              <w:right w:val="single" w:sz="4" w:space="0" w:color="000000"/>
            </w:tcBorders>
          </w:tcPr>
          <w:p w14:paraId="3C1D43EF" w14:textId="77777777" w:rsidR="005B1006" w:rsidRDefault="005B1006" w:rsidP="00A250AE">
            <w:pPr>
              <w:spacing w:after="0" w:line="259" w:lineRule="auto"/>
              <w:ind w:left="94" w:firstLine="0"/>
            </w:pPr>
            <w:r>
              <w:t xml:space="preserve">0,93 (0,72; 1,21) </w:t>
            </w:r>
          </w:p>
        </w:tc>
      </w:tr>
      <w:tr w:rsidR="005B1006" w14:paraId="2D004490"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7D6A007B" w14:textId="77777777" w:rsidR="005B1006" w:rsidRDefault="005B1006" w:rsidP="00A250AE">
            <w:pPr>
              <w:spacing w:after="0" w:line="259" w:lineRule="auto"/>
              <w:ind w:left="0" w:firstLine="0"/>
              <w:jc w:val="both"/>
            </w:pPr>
            <w:r>
              <w:t xml:space="preserve">&gt; 90 līdz ≤ 110 </w:t>
            </w:r>
          </w:p>
        </w:tc>
        <w:tc>
          <w:tcPr>
            <w:tcW w:w="742" w:type="dxa"/>
            <w:tcBorders>
              <w:top w:val="single" w:sz="4" w:space="0" w:color="000000"/>
              <w:left w:val="single" w:sz="4" w:space="0" w:color="000000"/>
              <w:bottom w:val="single" w:sz="4" w:space="0" w:color="000000"/>
              <w:right w:val="single" w:sz="4" w:space="0" w:color="000000"/>
            </w:tcBorders>
          </w:tcPr>
          <w:p w14:paraId="66A16DAF" w14:textId="77777777" w:rsidR="005B1006" w:rsidRDefault="005B1006" w:rsidP="00A250AE">
            <w:pPr>
              <w:spacing w:after="0" w:line="259" w:lineRule="auto"/>
              <w:ind w:left="0" w:right="41" w:firstLine="0"/>
              <w:jc w:val="center"/>
            </w:pPr>
            <w:r>
              <w:t xml:space="preserve">927 </w:t>
            </w:r>
          </w:p>
        </w:tc>
        <w:tc>
          <w:tcPr>
            <w:tcW w:w="1050" w:type="dxa"/>
            <w:tcBorders>
              <w:top w:val="single" w:sz="4" w:space="0" w:color="000000"/>
              <w:left w:val="single" w:sz="4" w:space="0" w:color="000000"/>
              <w:bottom w:val="single" w:sz="4" w:space="0" w:color="000000"/>
              <w:right w:val="single" w:sz="4" w:space="0" w:color="000000"/>
            </w:tcBorders>
          </w:tcPr>
          <w:p w14:paraId="59F9CE48" w14:textId="77777777" w:rsidR="005B1006" w:rsidRDefault="005B1006" w:rsidP="00A250AE">
            <w:pPr>
              <w:spacing w:after="0" w:line="259" w:lineRule="auto"/>
              <w:ind w:left="0" w:right="40" w:firstLine="0"/>
              <w:jc w:val="center"/>
            </w:pPr>
            <w:r>
              <w:t xml:space="preserve">29 </w:t>
            </w:r>
          </w:p>
        </w:tc>
        <w:tc>
          <w:tcPr>
            <w:tcW w:w="1133" w:type="dxa"/>
            <w:tcBorders>
              <w:top w:val="single" w:sz="4" w:space="0" w:color="000000"/>
              <w:left w:val="single" w:sz="4" w:space="0" w:color="000000"/>
              <w:bottom w:val="single" w:sz="4" w:space="0" w:color="000000"/>
              <w:right w:val="single" w:sz="4" w:space="0" w:color="000000"/>
            </w:tcBorders>
          </w:tcPr>
          <w:p w14:paraId="5F6B75B9" w14:textId="77777777" w:rsidR="005B1006" w:rsidRDefault="005B1006" w:rsidP="00A250AE">
            <w:pPr>
              <w:spacing w:after="0" w:line="259" w:lineRule="auto"/>
              <w:ind w:left="0" w:right="41" w:firstLine="0"/>
              <w:jc w:val="center"/>
            </w:pPr>
            <w:r>
              <w:t xml:space="preserve">1,33 </w:t>
            </w:r>
          </w:p>
        </w:tc>
        <w:tc>
          <w:tcPr>
            <w:tcW w:w="730" w:type="dxa"/>
            <w:tcBorders>
              <w:top w:val="single" w:sz="4" w:space="0" w:color="000000"/>
              <w:left w:val="single" w:sz="4" w:space="0" w:color="000000"/>
              <w:bottom w:val="single" w:sz="4" w:space="0" w:color="000000"/>
              <w:right w:val="single" w:sz="4" w:space="0" w:color="000000"/>
            </w:tcBorders>
          </w:tcPr>
          <w:p w14:paraId="389024AE" w14:textId="77777777" w:rsidR="005B1006" w:rsidRDefault="005B1006" w:rsidP="00A250AE">
            <w:pPr>
              <w:spacing w:after="0" w:line="259" w:lineRule="auto"/>
              <w:ind w:left="0" w:right="41" w:firstLine="0"/>
              <w:jc w:val="center"/>
            </w:pPr>
            <w:r>
              <w:t xml:space="preserve">960 </w:t>
            </w:r>
          </w:p>
        </w:tc>
        <w:tc>
          <w:tcPr>
            <w:tcW w:w="1112" w:type="dxa"/>
            <w:tcBorders>
              <w:top w:val="single" w:sz="4" w:space="0" w:color="000000"/>
              <w:left w:val="single" w:sz="4" w:space="0" w:color="000000"/>
              <w:bottom w:val="single" w:sz="4" w:space="0" w:color="000000"/>
              <w:right w:val="single" w:sz="4" w:space="0" w:color="000000"/>
            </w:tcBorders>
          </w:tcPr>
          <w:p w14:paraId="0CDC0553" w14:textId="77777777" w:rsidR="005B1006" w:rsidRDefault="005B1006" w:rsidP="00A250AE">
            <w:pPr>
              <w:spacing w:after="0" w:line="259" w:lineRule="auto"/>
              <w:ind w:left="0" w:right="42" w:firstLine="0"/>
              <w:jc w:val="center"/>
            </w:pPr>
            <w:r>
              <w:t xml:space="preserve">56 </w:t>
            </w:r>
          </w:p>
        </w:tc>
        <w:tc>
          <w:tcPr>
            <w:tcW w:w="1134" w:type="dxa"/>
            <w:tcBorders>
              <w:top w:val="single" w:sz="4" w:space="0" w:color="000000"/>
              <w:left w:val="single" w:sz="4" w:space="0" w:color="000000"/>
              <w:bottom w:val="single" w:sz="4" w:space="0" w:color="000000"/>
              <w:right w:val="single" w:sz="4" w:space="0" w:color="000000"/>
            </w:tcBorders>
          </w:tcPr>
          <w:p w14:paraId="6FC4FA05" w14:textId="77777777" w:rsidR="005B1006" w:rsidRDefault="005B1006" w:rsidP="00A250AE">
            <w:pPr>
              <w:spacing w:after="0" w:line="259" w:lineRule="auto"/>
              <w:ind w:left="0" w:right="40" w:firstLine="0"/>
              <w:jc w:val="center"/>
            </w:pPr>
            <w:r>
              <w:t xml:space="preserve">2,48 </w:t>
            </w:r>
          </w:p>
        </w:tc>
        <w:tc>
          <w:tcPr>
            <w:tcW w:w="1769" w:type="dxa"/>
            <w:tcBorders>
              <w:top w:val="single" w:sz="4" w:space="0" w:color="000000"/>
              <w:left w:val="single" w:sz="4" w:space="0" w:color="000000"/>
              <w:bottom w:val="single" w:sz="4" w:space="0" w:color="000000"/>
              <w:right w:val="single" w:sz="4" w:space="0" w:color="000000"/>
            </w:tcBorders>
          </w:tcPr>
          <w:p w14:paraId="72B88CD9" w14:textId="77777777" w:rsidR="005B1006" w:rsidRDefault="005B1006" w:rsidP="00A250AE">
            <w:pPr>
              <w:spacing w:after="0" w:line="259" w:lineRule="auto"/>
              <w:ind w:left="94" w:firstLine="0"/>
            </w:pPr>
            <w:r>
              <w:t xml:space="preserve">0,54 (0,34; 0,84) </w:t>
            </w:r>
          </w:p>
        </w:tc>
      </w:tr>
      <w:tr w:rsidR="005B1006" w14:paraId="5B66D0BC" w14:textId="77777777" w:rsidTr="00A250AE">
        <w:trPr>
          <w:trHeight w:val="556"/>
        </w:trPr>
        <w:tc>
          <w:tcPr>
            <w:tcW w:w="1469" w:type="dxa"/>
            <w:tcBorders>
              <w:top w:val="single" w:sz="4" w:space="0" w:color="000000"/>
              <w:left w:val="single" w:sz="4" w:space="0" w:color="000000"/>
              <w:bottom w:val="single" w:sz="4" w:space="0" w:color="000000"/>
              <w:right w:val="single" w:sz="4" w:space="0" w:color="000000"/>
            </w:tcBorders>
          </w:tcPr>
          <w:p w14:paraId="7E531928" w14:textId="77777777" w:rsidR="005B1006" w:rsidRDefault="005B1006" w:rsidP="00A250AE">
            <w:pPr>
              <w:spacing w:after="9" w:line="259" w:lineRule="auto"/>
              <w:ind w:left="0" w:firstLine="0"/>
            </w:pPr>
            <w:r>
              <w:t xml:space="preserve">&gt; 110 līdz </w:t>
            </w:r>
          </w:p>
          <w:p w14:paraId="54F9135C" w14:textId="77777777" w:rsidR="005B1006" w:rsidRDefault="005B1006" w:rsidP="00A250AE">
            <w:pPr>
              <w:spacing w:after="0" w:line="259" w:lineRule="auto"/>
              <w:ind w:left="0" w:firstLine="0"/>
            </w:pPr>
            <w:r>
              <w:t xml:space="preserve">≤ 130 </w:t>
            </w:r>
          </w:p>
        </w:tc>
        <w:tc>
          <w:tcPr>
            <w:tcW w:w="742" w:type="dxa"/>
            <w:tcBorders>
              <w:top w:val="single" w:sz="4" w:space="0" w:color="000000"/>
              <w:left w:val="single" w:sz="4" w:space="0" w:color="000000"/>
              <w:bottom w:val="single" w:sz="4" w:space="0" w:color="000000"/>
              <w:right w:val="single" w:sz="4" w:space="0" w:color="000000"/>
            </w:tcBorders>
          </w:tcPr>
          <w:p w14:paraId="726885C3" w14:textId="77777777" w:rsidR="005B1006" w:rsidRDefault="005B1006" w:rsidP="00A250AE">
            <w:pPr>
              <w:spacing w:after="0" w:line="259" w:lineRule="auto"/>
              <w:ind w:left="0" w:right="41" w:firstLine="0"/>
              <w:jc w:val="center"/>
            </w:pPr>
            <w:r>
              <w:t xml:space="preserve">497 </w:t>
            </w:r>
          </w:p>
        </w:tc>
        <w:tc>
          <w:tcPr>
            <w:tcW w:w="1050" w:type="dxa"/>
            <w:tcBorders>
              <w:top w:val="single" w:sz="4" w:space="0" w:color="000000"/>
              <w:left w:val="single" w:sz="4" w:space="0" w:color="000000"/>
              <w:bottom w:val="single" w:sz="4" w:space="0" w:color="000000"/>
              <w:right w:val="single" w:sz="4" w:space="0" w:color="000000"/>
            </w:tcBorders>
          </w:tcPr>
          <w:p w14:paraId="2EE085C6" w14:textId="77777777" w:rsidR="005B1006" w:rsidRDefault="005B1006" w:rsidP="00A250AE">
            <w:pPr>
              <w:spacing w:after="0" w:line="259" w:lineRule="auto"/>
              <w:ind w:left="0" w:right="40" w:firstLine="0"/>
              <w:jc w:val="center"/>
            </w:pPr>
            <w:r>
              <w:t xml:space="preserve">20 </w:t>
            </w:r>
          </w:p>
        </w:tc>
        <w:tc>
          <w:tcPr>
            <w:tcW w:w="1133" w:type="dxa"/>
            <w:tcBorders>
              <w:top w:val="single" w:sz="4" w:space="0" w:color="000000"/>
              <w:left w:val="single" w:sz="4" w:space="0" w:color="000000"/>
              <w:bottom w:val="single" w:sz="4" w:space="0" w:color="000000"/>
              <w:right w:val="single" w:sz="4" w:space="0" w:color="000000"/>
            </w:tcBorders>
          </w:tcPr>
          <w:p w14:paraId="7678C130" w14:textId="77777777" w:rsidR="005B1006" w:rsidRDefault="005B1006" w:rsidP="00A250AE">
            <w:pPr>
              <w:spacing w:after="0" w:line="259" w:lineRule="auto"/>
              <w:ind w:left="0" w:right="41" w:firstLine="0"/>
              <w:jc w:val="center"/>
            </w:pPr>
            <w:r>
              <w:t xml:space="preserve">1,70 </w:t>
            </w:r>
          </w:p>
        </w:tc>
        <w:tc>
          <w:tcPr>
            <w:tcW w:w="730" w:type="dxa"/>
            <w:tcBorders>
              <w:top w:val="single" w:sz="4" w:space="0" w:color="000000"/>
              <w:left w:val="single" w:sz="4" w:space="0" w:color="000000"/>
              <w:bottom w:val="single" w:sz="4" w:space="0" w:color="000000"/>
              <w:right w:val="single" w:sz="4" w:space="0" w:color="000000"/>
            </w:tcBorders>
          </w:tcPr>
          <w:p w14:paraId="11983A7D" w14:textId="77777777" w:rsidR="005B1006" w:rsidRDefault="005B1006" w:rsidP="00A250AE">
            <w:pPr>
              <w:spacing w:after="0" w:line="259" w:lineRule="auto"/>
              <w:ind w:left="0" w:right="41" w:firstLine="0"/>
              <w:jc w:val="center"/>
            </w:pPr>
            <w:r>
              <w:t xml:space="preserve">469 </w:t>
            </w:r>
          </w:p>
        </w:tc>
        <w:tc>
          <w:tcPr>
            <w:tcW w:w="1112" w:type="dxa"/>
            <w:tcBorders>
              <w:top w:val="single" w:sz="4" w:space="0" w:color="000000"/>
              <w:left w:val="single" w:sz="4" w:space="0" w:color="000000"/>
              <w:bottom w:val="single" w:sz="4" w:space="0" w:color="000000"/>
              <w:right w:val="single" w:sz="4" w:space="0" w:color="000000"/>
            </w:tcBorders>
          </w:tcPr>
          <w:p w14:paraId="18087E31" w14:textId="77777777" w:rsidR="005B1006" w:rsidRDefault="005B1006" w:rsidP="00A250AE">
            <w:pPr>
              <w:spacing w:after="0" w:line="259" w:lineRule="auto"/>
              <w:ind w:left="0" w:right="42" w:firstLine="0"/>
              <w:jc w:val="center"/>
            </w:pPr>
            <w:r>
              <w:t xml:space="preserve">24 </w:t>
            </w:r>
          </w:p>
        </w:tc>
        <w:tc>
          <w:tcPr>
            <w:tcW w:w="1134" w:type="dxa"/>
            <w:tcBorders>
              <w:top w:val="single" w:sz="4" w:space="0" w:color="000000"/>
              <w:left w:val="single" w:sz="4" w:space="0" w:color="000000"/>
              <w:bottom w:val="single" w:sz="4" w:space="0" w:color="000000"/>
              <w:right w:val="single" w:sz="4" w:space="0" w:color="000000"/>
            </w:tcBorders>
          </w:tcPr>
          <w:p w14:paraId="18DDDACC" w14:textId="77777777" w:rsidR="005B1006" w:rsidRDefault="005B1006" w:rsidP="00A250AE">
            <w:pPr>
              <w:spacing w:after="0" w:line="259" w:lineRule="auto"/>
              <w:ind w:left="0" w:right="40" w:firstLine="0"/>
              <w:jc w:val="center"/>
            </w:pPr>
            <w:r>
              <w:t xml:space="preserve">2,14 </w:t>
            </w:r>
          </w:p>
        </w:tc>
        <w:tc>
          <w:tcPr>
            <w:tcW w:w="1769" w:type="dxa"/>
            <w:tcBorders>
              <w:top w:val="single" w:sz="4" w:space="0" w:color="000000"/>
              <w:left w:val="single" w:sz="4" w:space="0" w:color="000000"/>
              <w:bottom w:val="single" w:sz="4" w:space="0" w:color="000000"/>
              <w:right w:val="single" w:sz="4" w:space="0" w:color="000000"/>
            </w:tcBorders>
          </w:tcPr>
          <w:p w14:paraId="121F720B" w14:textId="77777777" w:rsidR="005B1006" w:rsidRDefault="005B1006" w:rsidP="00A250AE">
            <w:pPr>
              <w:spacing w:after="0" w:line="259" w:lineRule="auto"/>
              <w:ind w:left="94" w:firstLine="0"/>
            </w:pPr>
            <w:r>
              <w:t xml:space="preserve">0,79 (0,44; 1,42) </w:t>
            </w:r>
          </w:p>
        </w:tc>
      </w:tr>
      <w:tr w:rsidR="005B1006" w14:paraId="5F4E192E"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126293BE" w14:textId="77777777" w:rsidR="005B1006" w:rsidRDefault="005B1006" w:rsidP="00A250AE">
            <w:pPr>
              <w:spacing w:after="0" w:line="259" w:lineRule="auto"/>
              <w:ind w:left="0" w:firstLine="0"/>
            </w:pPr>
            <w:r>
              <w:t xml:space="preserve">&gt; 130 </w:t>
            </w:r>
          </w:p>
        </w:tc>
        <w:tc>
          <w:tcPr>
            <w:tcW w:w="742" w:type="dxa"/>
            <w:tcBorders>
              <w:top w:val="single" w:sz="4" w:space="0" w:color="000000"/>
              <w:left w:val="single" w:sz="4" w:space="0" w:color="000000"/>
              <w:bottom w:val="single" w:sz="4" w:space="0" w:color="000000"/>
              <w:right w:val="single" w:sz="4" w:space="0" w:color="000000"/>
            </w:tcBorders>
          </w:tcPr>
          <w:p w14:paraId="6ACA9286" w14:textId="77777777" w:rsidR="005B1006" w:rsidRDefault="005B1006" w:rsidP="00A250AE">
            <w:pPr>
              <w:spacing w:after="0" w:line="259" w:lineRule="auto"/>
              <w:ind w:left="0" w:right="41" w:firstLine="0"/>
              <w:jc w:val="center"/>
            </w:pPr>
            <w:r>
              <w:t xml:space="preserve">462 </w:t>
            </w:r>
          </w:p>
        </w:tc>
        <w:tc>
          <w:tcPr>
            <w:tcW w:w="1050" w:type="dxa"/>
            <w:tcBorders>
              <w:top w:val="single" w:sz="4" w:space="0" w:color="000000"/>
              <w:left w:val="single" w:sz="4" w:space="0" w:color="000000"/>
              <w:bottom w:val="single" w:sz="4" w:space="0" w:color="000000"/>
              <w:right w:val="single" w:sz="4" w:space="0" w:color="000000"/>
            </w:tcBorders>
          </w:tcPr>
          <w:p w14:paraId="786408DA" w14:textId="77777777" w:rsidR="005B1006" w:rsidRDefault="005B1006" w:rsidP="00A250AE">
            <w:pPr>
              <w:spacing w:after="0" w:line="259" w:lineRule="auto"/>
              <w:ind w:left="0" w:right="40" w:firstLine="0"/>
              <w:jc w:val="center"/>
            </w:pPr>
            <w:r>
              <w:t xml:space="preserve">13 </w:t>
            </w:r>
          </w:p>
        </w:tc>
        <w:tc>
          <w:tcPr>
            <w:tcW w:w="1133" w:type="dxa"/>
            <w:tcBorders>
              <w:top w:val="single" w:sz="4" w:space="0" w:color="000000"/>
              <w:left w:val="single" w:sz="4" w:space="0" w:color="000000"/>
              <w:bottom w:val="single" w:sz="4" w:space="0" w:color="000000"/>
              <w:right w:val="single" w:sz="4" w:space="0" w:color="000000"/>
            </w:tcBorders>
          </w:tcPr>
          <w:p w14:paraId="30B47BDF" w14:textId="77777777" w:rsidR="005B1006" w:rsidRDefault="005B1006" w:rsidP="00A250AE">
            <w:pPr>
              <w:spacing w:after="0" w:line="259" w:lineRule="auto"/>
              <w:ind w:left="0" w:right="41" w:firstLine="0"/>
              <w:jc w:val="center"/>
            </w:pPr>
            <w:r>
              <w:t xml:space="preserve">1,18 </w:t>
            </w:r>
          </w:p>
        </w:tc>
        <w:tc>
          <w:tcPr>
            <w:tcW w:w="730" w:type="dxa"/>
            <w:tcBorders>
              <w:top w:val="single" w:sz="4" w:space="0" w:color="000000"/>
              <w:left w:val="single" w:sz="4" w:space="0" w:color="000000"/>
              <w:bottom w:val="single" w:sz="4" w:space="0" w:color="000000"/>
              <w:right w:val="single" w:sz="4" w:space="0" w:color="000000"/>
            </w:tcBorders>
          </w:tcPr>
          <w:p w14:paraId="1700EA6A" w14:textId="77777777" w:rsidR="005B1006" w:rsidRDefault="005B1006" w:rsidP="00A250AE">
            <w:pPr>
              <w:spacing w:after="0" w:line="259" w:lineRule="auto"/>
              <w:ind w:left="0" w:right="41" w:firstLine="0"/>
              <w:jc w:val="center"/>
            </w:pPr>
            <w:r>
              <w:t xml:space="preserve">418 </w:t>
            </w:r>
          </w:p>
        </w:tc>
        <w:tc>
          <w:tcPr>
            <w:tcW w:w="1112" w:type="dxa"/>
            <w:tcBorders>
              <w:top w:val="single" w:sz="4" w:space="0" w:color="000000"/>
              <w:left w:val="single" w:sz="4" w:space="0" w:color="000000"/>
              <w:bottom w:val="single" w:sz="4" w:space="0" w:color="000000"/>
              <w:right w:val="single" w:sz="4" w:space="0" w:color="000000"/>
            </w:tcBorders>
          </w:tcPr>
          <w:p w14:paraId="192D942A" w14:textId="77777777" w:rsidR="005B1006" w:rsidRDefault="005B1006" w:rsidP="00A250AE">
            <w:pPr>
              <w:spacing w:after="0" w:line="259" w:lineRule="auto"/>
              <w:ind w:left="0" w:right="42" w:firstLine="0"/>
              <w:jc w:val="center"/>
            </w:pPr>
            <w:r>
              <w:t xml:space="preserve">21 </w:t>
            </w:r>
          </w:p>
        </w:tc>
        <w:tc>
          <w:tcPr>
            <w:tcW w:w="1134" w:type="dxa"/>
            <w:tcBorders>
              <w:top w:val="single" w:sz="4" w:space="0" w:color="000000"/>
              <w:left w:val="single" w:sz="4" w:space="0" w:color="000000"/>
              <w:bottom w:val="single" w:sz="4" w:space="0" w:color="000000"/>
              <w:right w:val="single" w:sz="4" w:space="0" w:color="000000"/>
            </w:tcBorders>
          </w:tcPr>
          <w:p w14:paraId="0499D6D1" w14:textId="77777777" w:rsidR="005B1006" w:rsidRDefault="005B1006" w:rsidP="00A250AE">
            <w:pPr>
              <w:spacing w:after="0" w:line="259" w:lineRule="auto"/>
              <w:ind w:left="0" w:right="40" w:firstLine="0"/>
              <w:jc w:val="center"/>
            </w:pPr>
            <w:r>
              <w:t xml:space="preserve">2,08 </w:t>
            </w:r>
          </w:p>
        </w:tc>
        <w:tc>
          <w:tcPr>
            <w:tcW w:w="1769" w:type="dxa"/>
            <w:tcBorders>
              <w:top w:val="single" w:sz="4" w:space="0" w:color="000000"/>
              <w:left w:val="single" w:sz="4" w:space="0" w:color="000000"/>
              <w:bottom w:val="single" w:sz="4" w:space="0" w:color="000000"/>
              <w:right w:val="single" w:sz="4" w:space="0" w:color="000000"/>
            </w:tcBorders>
          </w:tcPr>
          <w:p w14:paraId="1CD2D550" w14:textId="77777777" w:rsidR="005B1006" w:rsidRDefault="005B1006" w:rsidP="00A250AE">
            <w:pPr>
              <w:spacing w:after="0" w:line="259" w:lineRule="auto"/>
              <w:ind w:left="94" w:firstLine="0"/>
            </w:pPr>
            <w:r>
              <w:t xml:space="preserve">0,58 (0,29; 1,15) </w:t>
            </w:r>
          </w:p>
        </w:tc>
      </w:tr>
    </w:tbl>
    <w:p w14:paraId="5228DF9D" w14:textId="77777777" w:rsidR="005B1006" w:rsidRDefault="005B1006" w:rsidP="005B1006">
      <w:pPr>
        <w:spacing w:after="53" w:line="259" w:lineRule="auto"/>
        <w:ind w:firstLine="0"/>
      </w:pPr>
      <w:r>
        <w:t xml:space="preserve"> </w:t>
      </w:r>
    </w:p>
    <w:p w14:paraId="05176514" w14:textId="77777777" w:rsidR="005B1006" w:rsidRDefault="005B1006" w:rsidP="005B1006">
      <w:pPr>
        <w:pStyle w:val="Heading4"/>
        <w:ind w:left="914" w:right="0" w:hanging="924"/>
      </w:pPr>
      <w:r>
        <w:t>8. tabula. Letālas asiņošanas notikumu skaits atbilstoši CrCl kategorijai ENGAGE AF-TIMI 48, drošuma analīze ārstēšanās laikā</w:t>
      </w:r>
      <w:r>
        <w:rPr>
          <w:vertAlign w:val="superscript"/>
        </w:rPr>
        <w:t>a</w:t>
      </w:r>
      <w:r>
        <w:t xml:space="preserve"> </w:t>
      </w:r>
    </w:p>
    <w:tbl>
      <w:tblPr>
        <w:tblStyle w:val="TableGrid"/>
        <w:tblW w:w="9124" w:type="dxa"/>
        <w:tblInd w:w="68" w:type="dxa"/>
        <w:tblCellMar>
          <w:top w:w="0" w:type="dxa"/>
          <w:left w:w="55" w:type="dxa"/>
          <w:bottom w:w="0" w:type="dxa"/>
          <w:right w:w="15" w:type="dxa"/>
        </w:tblCellMar>
        <w:tblLook w:val="04A0" w:firstRow="1" w:lastRow="0" w:firstColumn="1" w:lastColumn="0" w:noHBand="0" w:noVBand="1"/>
      </w:tblPr>
      <w:tblGrid>
        <w:gridCol w:w="1468"/>
        <w:gridCol w:w="742"/>
        <w:gridCol w:w="1050"/>
        <w:gridCol w:w="1133"/>
        <w:gridCol w:w="730"/>
        <w:gridCol w:w="1112"/>
        <w:gridCol w:w="1134"/>
        <w:gridCol w:w="1755"/>
      </w:tblGrid>
      <w:tr w:rsidR="005B1006" w14:paraId="04492513" w14:textId="77777777" w:rsidTr="00A250AE">
        <w:trPr>
          <w:trHeight w:val="569"/>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D8D57FA" w14:textId="77777777" w:rsidR="005B1006" w:rsidRDefault="005B1006" w:rsidP="00A250AE">
            <w:pPr>
              <w:spacing w:after="55" w:line="224" w:lineRule="auto"/>
              <w:ind w:left="0" w:firstLine="0"/>
              <w:jc w:val="center"/>
            </w:pPr>
            <w:r>
              <w:rPr>
                <w:b/>
              </w:rPr>
              <w:t xml:space="preserve">CrCl apakšgrupa </w:t>
            </w:r>
          </w:p>
          <w:p w14:paraId="6274F5FF" w14:textId="77777777" w:rsidR="005B1006" w:rsidRDefault="005B1006" w:rsidP="00A250AE">
            <w:pPr>
              <w:spacing w:after="0" w:line="259" w:lineRule="auto"/>
              <w:ind w:left="0" w:right="44" w:firstLine="0"/>
              <w:jc w:val="center"/>
            </w:pPr>
            <w:r>
              <w:rPr>
                <w:b/>
              </w:rPr>
              <w:t xml:space="preserve">(ml/min) </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0E324B" w14:textId="77777777" w:rsidR="005B1006" w:rsidRDefault="005B1006" w:rsidP="00A250AE">
            <w:pPr>
              <w:spacing w:after="0" w:line="259" w:lineRule="auto"/>
              <w:ind w:left="410" w:right="397" w:firstLine="0"/>
              <w:jc w:val="center"/>
            </w:pPr>
            <w:r>
              <w:rPr>
                <w:b/>
              </w:rPr>
              <w:t xml:space="preserve">Edoksabāns 60 mg (N = 7012) </w:t>
            </w:r>
          </w:p>
        </w:tc>
        <w:tc>
          <w:tcPr>
            <w:tcW w:w="730" w:type="dxa"/>
            <w:tcBorders>
              <w:top w:val="single" w:sz="4" w:space="0" w:color="000000"/>
              <w:left w:val="single" w:sz="4" w:space="0" w:color="000000"/>
              <w:bottom w:val="single" w:sz="4" w:space="0" w:color="000000"/>
              <w:right w:val="nil"/>
            </w:tcBorders>
            <w:shd w:val="clear" w:color="auto" w:fill="D9D9D9"/>
          </w:tcPr>
          <w:p w14:paraId="07AC4E5A" w14:textId="77777777" w:rsidR="005B1006" w:rsidRDefault="005B1006" w:rsidP="00A250AE">
            <w:pPr>
              <w:spacing w:after="160" w:line="259" w:lineRule="auto"/>
              <w:ind w:left="0" w:firstLine="0"/>
            </w:pPr>
          </w:p>
        </w:tc>
        <w:tc>
          <w:tcPr>
            <w:tcW w:w="2246" w:type="dxa"/>
            <w:gridSpan w:val="2"/>
            <w:tcBorders>
              <w:top w:val="single" w:sz="4" w:space="0" w:color="000000"/>
              <w:left w:val="nil"/>
              <w:bottom w:val="single" w:sz="4" w:space="0" w:color="000000"/>
              <w:right w:val="single" w:sz="4" w:space="0" w:color="000000"/>
            </w:tcBorders>
            <w:shd w:val="clear" w:color="auto" w:fill="D9D9D9"/>
          </w:tcPr>
          <w:p w14:paraId="784683C5" w14:textId="77777777" w:rsidR="005B1006" w:rsidRDefault="005B1006" w:rsidP="00A250AE">
            <w:pPr>
              <w:spacing w:after="0" w:line="259" w:lineRule="auto"/>
              <w:ind w:left="212" w:right="728" w:firstLine="32"/>
            </w:pPr>
            <w:r>
              <w:rPr>
                <w:b/>
              </w:rPr>
              <w:t xml:space="preserve">Varfarīns (N = 7012)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443A1BCB" w14:textId="77777777" w:rsidR="005B1006" w:rsidRDefault="005B1006" w:rsidP="00A250AE">
            <w:pPr>
              <w:spacing w:after="0" w:line="259" w:lineRule="auto"/>
              <w:ind w:left="14" w:firstLine="0"/>
              <w:jc w:val="center"/>
            </w:pPr>
            <w:r>
              <w:rPr>
                <w:b/>
              </w:rPr>
              <w:t xml:space="preserve"> </w:t>
            </w:r>
          </w:p>
        </w:tc>
      </w:tr>
      <w:tr w:rsidR="005B1006" w14:paraId="20579BB7" w14:textId="77777777" w:rsidTr="00A250AE">
        <w:trPr>
          <w:trHeight w:val="808"/>
        </w:trPr>
        <w:tc>
          <w:tcPr>
            <w:tcW w:w="0" w:type="auto"/>
            <w:vMerge/>
            <w:tcBorders>
              <w:top w:val="nil"/>
              <w:left w:val="single" w:sz="4" w:space="0" w:color="000000"/>
              <w:bottom w:val="single" w:sz="4" w:space="0" w:color="000000"/>
              <w:right w:val="single" w:sz="4" w:space="0" w:color="000000"/>
            </w:tcBorders>
          </w:tcPr>
          <w:p w14:paraId="051FF3B7" w14:textId="77777777" w:rsidR="005B1006" w:rsidRDefault="005B1006" w:rsidP="00A250AE">
            <w:pPr>
              <w:spacing w:after="160" w:line="259" w:lineRule="auto"/>
              <w:ind w:left="0" w:firstLine="0"/>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14:paraId="35D57498" w14:textId="77777777" w:rsidR="005B1006" w:rsidRDefault="005B1006" w:rsidP="00A250AE">
            <w:pPr>
              <w:spacing w:after="0" w:line="259" w:lineRule="auto"/>
              <w:ind w:left="0" w:right="41" w:firstLine="0"/>
              <w:jc w:val="center"/>
            </w:pPr>
            <w:r>
              <w:rPr>
                <w:b/>
              </w:rPr>
              <w:t xml:space="preserve">n </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58E6BF23" w14:textId="77777777" w:rsidR="005B1006" w:rsidRDefault="005B1006" w:rsidP="00A250AE">
            <w:pPr>
              <w:spacing w:after="0" w:line="259" w:lineRule="auto"/>
              <w:ind w:left="0" w:firstLine="0"/>
              <w:jc w:val="center"/>
            </w:pPr>
            <w:r>
              <w:rPr>
                <w:b/>
                <w:sz w:val="20"/>
              </w:rPr>
              <w:t>Notikumu</w:t>
            </w:r>
            <w:r>
              <w:rPr>
                <w:sz w:val="20"/>
              </w:rPr>
              <w:t xml:space="preserve"> </w:t>
            </w:r>
            <w:r>
              <w:rPr>
                <w:b/>
                <w:sz w:val="20"/>
              </w:rPr>
              <w:t xml:space="preserve">skaits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273F8C57" w14:textId="77777777" w:rsidR="005B1006" w:rsidRDefault="005B1006" w:rsidP="00A250AE">
            <w:pPr>
              <w:spacing w:after="0" w:line="259" w:lineRule="auto"/>
              <w:ind w:left="6" w:hanging="6"/>
              <w:jc w:val="center"/>
            </w:pPr>
            <w:r>
              <w:rPr>
                <w:b/>
                <w:sz w:val="20"/>
              </w:rPr>
              <w:t>Notikumu rādītājs( %/gadā)</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4BF7AB4A" w14:textId="77777777" w:rsidR="005B1006" w:rsidRDefault="005B1006" w:rsidP="00A250AE">
            <w:pPr>
              <w:spacing w:after="0" w:line="259" w:lineRule="auto"/>
              <w:ind w:left="0" w:right="43" w:firstLine="0"/>
              <w:jc w:val="center"/>
            </w:pPr>
            <w:r>
              <w:rPr>
                <w:b/>
              </w:rPr>
              <w:t xml:space="preserve">n </w:t>
            </w:r>
          </w:p>
        </w:tc>
        <w:tc>
          <w:tcPr>
            <w:tcW w:w="1112" w:type="dxa"/>
            <w:tcBorders>
              <w:top w:val="single" w:sz="4" w:space="0" w:color="000000"/>
              <w:left w:val="single" w:sz="4" w:space="0" w:color="000000"/>
              <w:bottom w:val="single" w:sz="4" w:space="0" w:color="000000"/>
              <w:right w:val="single" w:sz="4" w:space="0" w:color="000000"/>
            </w:tcBorders>
            <w:shd w:val="clear" w:color="auto" w:fill="D9D9D9"/>
          </w:tcPr>
          <w:p w14:paraId="77730CDF" w14:textId="77777777" w:rsidR="005B1006" w:rsidRDefault="005B1006" w:rsidP="00A250AE">
            <w:pPr>
              <w:spacing w:after="0" w:line="259" w:lineRule="auto"/>
              <w:ind w:left="0" w:firstLine="0"/>
              <w:jc w:val="center"/>
            </w:pPr>
            <w:r>
              <w:rPr>
                <w:b/>
                <w:sz w:val="20"/>
              </w:rPr>
              <w:t xml:space="preserve">Notikumu skaits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3C1C2CC" w14:textId="77777777" w:rsidR="005B1006" w:rsidRDefault="005B1006" w:rsidP="00A250AE">
            <w:pPr>
              <w:spacing w:after="51" w:line="301" w:lineRule="auto"/>
              <w:ind w:left="0" w:firstLine="0"/>
              <w:jc w:val="center"/>
            </w:pPr>
            <w:r>
              <w:rPr>
                <w:b/>
                <w:sz w:val="20"/>
              </w:rPr>
              <w:t xml:space="preserve">Notikumu rādītājs  </w:t>
            </w:r>
          </w:p>
          <w:p w14:paraId="0B5AC249" w14:textId="77777777" w:rsidR="005B1006" w:rsidRDefault="005B1006" w:rsidP="00A250AE">
            <w:pPr>
              <w:spacing w:after="0" w:line="259" w:lineRule="auto"/>
              <w:ind w:left="112" w:firstLine="0"/>
            </w:pPr>
            <w:r>
              <w:rPr>
                <w:b/>
                <w:sz w:val="20"/>
              </w:rPr>
              <w:t xml:space="preserve">(%/gadā)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33DC2A82" w14:textId="77777777" w:rsidR="005B1006" w:rsidRDefault="005B1006" w:rsidP="00A250AE">
            <w:pPr>
              <w:spacing w:after="0" w:line="259" w:lineRule="auto"/>
              <w:ind w:left="0" w:right="40" w:firstLine="0"/>
              <w:jc w:val="center"/>
            </w:pPr>
            <w:r>
              <w:rPr>
                <w:b/>
              </w:rPr>
              <w:t xml:space="preserve">HR (95% TI) </w:t>
            </w:r>
          </w:p>
        </w:tc>
      </w:tr>
      <w:tr w:rsidR="005B1006" w14:paraId="35E7A4A0" w14:textId="77777777" w:rsidTr="00A250AE">
        <w:trPr>
          <w:trHeight w:val="305"/>
        </w:trPr>
        <w:tc>
          <w:tcPr>
            <w:tcW w:w="1469" w:type="dxa"/>
            <w:tcBorders>
              <w:top w:val="single" w:sz="4" w:space="0" w:color="000000"/>
              <w:left w:val="single" w:sz="4" w:space="0" w:color="000000"/>
              <w:bottom w:val="single" w:sz="4" w:space="0" w:color="000000"/>
              <w:right w:val="single" w:sz="4" w:space="0" w:color="000000"/>
            </w:tcBorders>
          </w:tcPr>
          <w:p w14:paraId="5BFD70D4" w14:textId="77777777" w:rsidR="005B1006" w:rsidRDefault="005B1006" w:rsidP="00A250AE">
            <w:pPr>
              <w:spacing w:after="0" w:line="259" w:lineRule="auto"/>
              <w:ind w:left="0" w:firstLine="0"/>
            </w:pPr>
            <w:r>
              <w:t xml:space="preserve">≥ 30 līdz ≤ 50 </w:t>
            </w:r>
          </w:p>
        </w:tc>
        <w:tc>
          <w:tcPr>
            <w:tcW w:w="742" w:type="dxa"/>
            <w:tcBorders>
              <w:top w:val="single" w:sz="4" w:space="0" w:color="000000"/>
              <w:left w:val="single" w:sz="4" w:space="0" w:color="000000"/>
              <w:bottom w:val="single" w:sz="4" w:space="0" w:color="000000"/>
              <w:right w:val="single" w:sz="4" w:space="0" w:color="000000"/>
            </w:tcBorders>
          </w:tcPr>
          <w:p w14:paraId="24DE5B72" w14:textId="77777777" w:rsidR="005B1006" w:rsidRDefault="005B1006" w:rsidP="00A250AE">
            <w:pPr>
              <w:spacing w:after="0" w:line="259" w:lineRule="auto"/>
              <w:ind w:left="95" w:firstLine="0"/>
            </w:pPr>
            <w:r>
              <w:t xml:space="preserve">1302 </w:t>
            </w:r>
          </w:p>
        </w:tc>
        <w:tc>
          <w:tcPr>
            <w:tcW w:w="1050" w:type="dxa"/>
            <w:tcBorders>
              <w:top w:val="single" w:sz="4" w:space="0" w:color="000000"/>
              <w:left w:val="single" w:sz="4" w:space="0" w:color="000000"/>
              <w:bottom w:val="single" w:sz="4" w:space="0" w:color="000000"/>
              <w:right w:val="single" w:sz="4" w:space="0" w:color="000000"/>
            </w:tcBorders>
          </w:tcPr>
          <w:p w14:paraId="0166E382" w14:textId="77777777" w:rsidR="005B1006" w:rsidRDefault="005B1006" w:rsidP="00A250AE">
            <w:pPr>
              <w:spacing w:after="0" w:line="259" w:lineRule="auto"/>
              <w:ind w:left="0" w:right="40" w:firstLine="0"/>
              <w:jc w:val="center"/>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14:paraId="6332A374" w14:textId="77777777" w:rsidR="005B1006" w:rsidRDefault="005B1006" w:rsidP="00A250AE">
            <w:pPr>
              <w:spacing w:after="0" w:line="259" w:lineRule="auto"/>
              <w:ind w:left="0" w:right="41" w:firstLine="0"/>
              <w:jc w:val="center"/>
            </w:pPr>
            <w:r>
              <w:t xml:space="preserve">0,36 </w:t>
            </w:r>
          </w:p>
        </w:tc>
        <w:tc>
          <w:tcPr>
            <w:tcW w:w="730" w:type="dxa"/>
            <w:tcBorders>
              <w:top w:val="single" w:sz="4" w:space="0" w:color="000000"/>
              <w:left w:val="single" w:sz="4" w:space="0" w:color="000000"/>
              <w:bottom w:val="single" w:sz="4" w:space="0" w:color="000000"/>
              <w:right w:val="single" w:sz="4" w:space="0" w:color="000000"/>
            </w:tcBorders>
          </w:tcPr>
          <w:p w14:paraId="28B57FF2" w14:textId="77777777" w:rsidR="005B1006" w:rsidRDefault="005B1006" w:rsidP="00A250AE">
            <w:pPr>
              <w:spacing w:after="0" w:line="259" w:lineRule="auto"/>
              <w:ind w:left="89" w:firstLine="0"/>
            </w:pPr>
            <w:r>
              <w:t xml:space="preserve">1305 </w:t>
            </w:r>
          </w:p>
        </w:tc>
        <w:tc>
          <w:tcPr>
            <w:tcW w:w="1112" w:type="dxa"/>
            <w:tcBorders>
              <w:top w:val="single" w:sz="4" w:space="0" w:color="000000"/>
              <w:left w:val="single" w:sz="4" w:space="0" w:color="000000"/>
              <w:bottom w:val="single" w:sz="4" w:space="0" w:color="000000"/>
              <w:right w:val="single" w:sz="4" w:space="0" w:color="000000"/>
            </w:tcBorders>
          </w:tcPr>
          <w:p w14:paraId="55FA2DF2" w14:textId="77777777" w:rsidR="005B1006" w:rsidRDefault="005B1006" w:rsidP="00A250AE">
            <w:pPr>
              <w:spacing w:after="0" w:line="259" w:lineRule="auto"/>
              <w:ind w:left="0" w:right="42" w:firstLine="0"/>
              <w:jc w:val="center"/>
            </w:pPr>
            <w:r>
              <w:t xml:space="preserve">18 </w:t>
            </w:r>
          </w:p>
        </w:tc>
        <w:tc>
          <w:tcPr>
            <w:tcW w:w="1134" w:type="dxa"/>
            <w:tcBorders>
              <w:top w:val="single" w:sz="4" w:space="0" w:color="000000"/>
              <w:left w:val="single" w:sz="4" w:space="0" w:color="000000"/>
              <w:bottom w:val="single" w:sz="4" w:space="0" w:color="000000"/>
              <w:right w:val="single" w:sz="4" w:space="0" w:color="000000"/>
            </w:tcBorders>
          </w:tcPr>
          <w:p w14:paraId="79C17E3E" w14:textId="77777777" w:rsidR="005B1006" w:rsidRDefault="005B1006" w:rsidP="00A250AE">
            <w:pPr>
              <w:spacing w:after="0" w:line="259" w:lineRule="auto"/>
              <w:ind w:left="0" w:right="40" w:firstLine="0"/>
              <w:jc w:val="center"/>
            </w:pPr>
            <w:r>
              <w:t xml:space="preserve">0,72 </w:t>
            </w:r>
          </w:p>
        </w:tc>
        <w:tc>
          <w:tcPr>
            <w:tcW w:w="1755" w:type="dxa"/>
            <w:tcBorders>
              <w:top w:val="single" w:sz="4" w:space="0" w:color="000000"/>
              <w:left w:val="single" w:sz="4" w:space="0" w:color="000000"/>
              <w:bottom w:val="single" w:sz="4" w:space="0" w:color="000000"/>
              <w:right w:val="single" w:sz="4" w:space="0" w:color="000000"/>
            </w:tcBorders>
          </w:tcPr>
          <w:p w14:paraId="0F150EDB" w14:textId="77777777" w:rsidR="005B1006" w:rsidRDefault="005B1006" w:rsidP="00A250AE">
            <w:pPr>
              <w:spacing w:after="0" w:line="259" w:lineRule="auto"/>
              <w:ind w:left="86" w:firstLine="0"/>
            </w:pPr>
            <w:r>
              <w:t xml:space="preserve">0,51 (0,23; 1,14) </w:t>
            </w:r>
          </w:p>
        </w:tc>
      </w:tr>
      <w:tr w:rsidR="005B1006" w14:paraId="634B9CEC"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12A36964" w14:textId="77777777" w:rsidR="005B1006" w:rsidRDefault="005B1006" w:rsidP="00A250AE">
            <w:pPr>
              <w:spacing w:after="0" w:line="259" w:lineRule="auto"/>
              <w:ind w:left="0" w:firstLine="0"/>
            </w:pPr>
            <w:r>
              <w:t xml:space="preserve">&gt; 50 līdz ≤ 70 </w:t>
            </w:r>
          </w:p>
        </w:tc>
        <w:tc>
          <w:tcPr>
            <w:tcW w:w="742" w:type="dxa"/>
            <w:tcBorders>
              <w:top w:val="single" w:sz="4" w:space="0" w:color="000000"/>
              <w:left w:val="single" w:sz="4" w:space="0" w:color="000000"/>
              <w:bottom w:val="single" w:sz="4" w:space="0" w:color="000000"/>
              <w:right w:val="single" w:sz="4" w:space="0" w:color="000000"/>
            </w:tcBorders>
          </w:tcPr>
          <w:p w14:paraId="220EDDF3" w14:textId="77777777" w:rsidR="005B1006" w:rsidRDefault="005B1006" w:rsidP="00A250AE">
            <w:pPr>
              <w:spacing w:after="0" w:line="259" w:lineRule="auto"/>
              <w:ind w:left="95" w:firstLine="0"/>
            </w:pPr>
            <w:r>
              <w:t xml:space="preserve">2093 </w:t>
            </w:r>
          </w:p>
        </w:tc>
        <w:tc>
          <w:tcPr>
            <w:tcW w:w="1050" w:type="dxa"/>
            <w:tcBorders>
              <w:top w:val="single" w:sz="4" w:space="0" w:color="000000"/>
              <w:left w:val="single" w:sz="4" w:space="0" w:color="000000"/>
              <w:bottom w:val="single" w:sz="4" w:space="0" w:color="000000"/>
              <w:right w:val="single" w:sz="4" w:space="0" w:color="000000"/>
            </w:tcBorders>
          </w:tcPr>
          <w:p w14:paraId="2F6564BB" w14:textId="77777777" w:rsidR="005B1006" w:rsidRDefault="005B1006" w:rsidP="00A250AE">
            <w:pPr>
              <w:spacing w:after="0" w:line="259" w:lineRule="auto"/>
              <w:ind w:left="0" w:right="40" w:firstLine="0"/>
              <w:jc w:val="center"/>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14:paraId="5FD62F46" w14:textId="77777777" w:rsidR="005B1006" w:rsidRDefault="005B1006" w:rsidP="00A250AE">
            <w:pPr>
              <w:spacing w:after="0" w:line="259" w:lineRule="auto"/>
              <w:ind w:left="0" w:right="41" w:firstLine="0"/>
              <w:jc w:val="center"/>
            </w:pPr>
            <w:r>
              <w:t xml:space="preserve">0,18 </w:t>
            </w:r>
          </w:p>
        </w:tc>
        <w:tc>
          <w:tcPr>
            <w:tcW w:w="730" w:type="dxa"/>
            <w:tcBorders>
              <w:top w:val="single" w:sz="4" w:space="0" w:color="000000"/>
              <w:left w:val="single" w:sz="4" w:space="0" w:color="000000"/>
              <w:bottom w:val="single" w:sz="4" w:space="0" w:color="000000"/>
              <w:right w:val="single" w:sz="4" w:space="0" w:color="000000"/>
            </w:tcBorders>
          </w:tcPr>
          <w:p w14:paraId="36E08C5D" w14:textId="77777777" w:rsidR="005B1006" w:rsidRDefault="005B1006" w:rsidP="00A250AE">
            <w:pPr>
              <w:spacing w:after="0" w:line="259" w:lineRule="auto"/>
              <w:ind w:left="89" w:firstLine="0"/>
            </w:pPr>
            <w:r>
              <w:t xml:space="preserve">2106 </w:t>
            </w:r>
          </w:p>
        </w:tc>
        <w:tc>
          <w:tcPr>
            <w:tcW w:w="1112" w:type="dxa"/>
            <w:tcBorders>
              <w:top w:val="single" w:sz="4" w:space="0" w:color="000000"/>
              <w:left w:val="single" w:sz="4" w:space="0" w:color="000000"/>
              <w:bottom w:val="single" w:sz="4" w:space="0" w:color="000000"/>
              <w:right w:val="single" w:sz="4" w:space="0" w:color="000000"/>
            </w:tcBorders>
          </w:tcPr>
          <w:p w14:paraId="5F758FE5" w14:textId="77777777" w:rsidR="005B1006" w:rsidRDefault="005B1006" w:rsidP="00A250AE">
            <w:pPr>
              <w:spacing w:after="0" w:line="259" w:lineRule="auto"/>
              <w:ind w:left="0" w:right="42" w:firstLine="0"/>
              <w:jc w:val="center"/>
            </w:pPr>
            <w:r>
              <w:t xml:space="preserve">23 </w:t>
            </w:r>
          </w:p>
        </w:tc>
        <w:tc>
          <w:tcPr>
            <w:tcW w:w="1134" w:type="dxa"/>
            <w:tcBorders>
              <w:top w:val="single" w:sz="4" w:space="0" w:color="000000"/>
              <w:left w:val="single" w:sz="4" w:space="0" w:color="000000"/>
              <w:bottom w:val="single" w:sz="4" w:space="0" w:color="000000"/>
              <w:right w:val="single" w:sz="4" w:space="0" w:color="000000"/>
            </w:tcBorders>
          </w:tcPr>
          <w:p w14:paraId="3C1E224D" w14:textId="77777777" w:rsidR="005B1006" w:rsidRDefault="005B1006" w:rsidP="00A250AE">
            <w:pPr>
              <w:spacing w:after="0" w:line="259" w:lineRule="auto"/>
              <w:ind w:left="0" w:right="40" w:firstLine="0"/>
              <w:jc w:val="center"/>
            </w:pPr>
            <w:r>
              <w:t xml:space="preserve">0,50 </w:t>
            </w:r>
          </w:p>
        </w:tc>
        <w:tc>
          <w:tcPr>
            <w:tcW w:w="1755" w:type="dxa"/>
            <w:tcBorders>
              <w:top w:val="single" w:sz="4" w:space="0" w:color="000000"/>
              <w:left w:val="single" w:sz="4" w:space="0" w:color="000000"/>
              <w:bottom w:val="single" w:sz="4" w:space="0" w:color="000000"/>
              <w:right w:val="single" w:sz="4" w:space="0" w:color="000000"/>
            </w:tcBorders>
          </w:tcPr>
          <w:p w14:paraId="6B16C334" w14:textId="77777777" w:rsidR="005B1006" w:rsidRDefault="005B1006" w:rsidP="00A250AE">
            <w:pPr>
              <w:spacing w:after="0" w:line="259" w:lineRule="auto"/>
              <w:ind w:left="86" w:firstLine="0"/>
            </w:pPr>
            <w:r>
              <w:t xml:space="preserve">0,35 (0,16; 0,79) </w:t>
            </w:r>
          </w:p>
        </w:tc>
      </w:tr>
      <w:tr w:rsidR="005B1006" w14:paraId="7D1AB976"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66CFED76" w14:textId="77777777" w:rsidR="005B1006" w:rsidRDefault="005B1006" w:rsidP="00A250AE">
            <w:pPr>
              <w:spacing w:after="0" w:line="259" w:lineRule="auto"/>
              <w:ind w:left="0" w:firstLine="0"/>
            </w:pPr>
            <w:r>
              <w:t xml:space="preserve">&gt; 70 līdz ≤ 90 </w:t>
            </w:r>
          </w:p>
        </w:tc>
        <w:tc>
          <w:tcPr>
            <w:tcW w:w="742" w:type="dxa"/>
            <w:tcBorders>
              <w:top w:val="single" w:sz="4" w:space="0" w:color="000000"/>
              <w:left w:val="single" w:sz="4" w:space="0" w:color="000000"/>
              <w:bottom w:val="single" w:sz="4" w:space="0" w:color="000000"/>
              <w:right w:val="single" w:sz="4" w:space="0" w:color="000000"/>
            </w:tcBorders>
          </w:tcPr>
          <w:p w14:paraId="51D5BF01" w14:textId="77777777" w:rsidR="005B1006" w:rsidRDefault="005B1006" w:rsidP="00A250AE">
            <w:pPr>
              <w:spacing w:after="0" w:line="259" w:lineRule="auto"/>
              <w:ind w:left="95" w:firstLine="0"/>
            </w:pPr>
            <w:r>
              <w:t xml:space="preserve">1661 </w:t>
            </w:r>
          </w:p>
        </w:tc>
        <w:tc>
          <w:tcPr>
            <w:tcW w:w="1050" w:type="dxa"/>
            <w:tcBorders>
              <w:top w:val="single" w:sz="4" w:space="0" w:color="000000"/>
              <w:left w:val="single" w:sz="4" w:space="0" w:color="000000"/>
              <w:bottom w:val="single" w:sz="4" w:space="0" w:color="000000"/>
              <w:right w:val="single" w:sz="4" w:space="0" w:color="000000"/>
            </w:tcBorders>
          </w:tcPr>
          <w:p w14:paraId="100D5BDD" w14:textId="77777777" w:rsidR="005B1006" w:rsidRDefault="005B1006" w:rsidP="00A250AE">
            <w:pPr>
              <w:spacing w:after="0" w:line="259" w:lineRule="auto"/>
              <w:ind w:left="0" w:right="40" w:firstLine="0"/>
              <w:jc w:val="center"/>
            </w:pPr>
            <w:r>
              <w:t xml:space="preserve">10 </w:t>
            </w:r>
          </w:p>
        </w:tc>
        <w:tc>
          <w:tcPr>
            <w:tcW w:w="1133" w:type="dxa"/>
            <w:tcBorders>
              <w:top w:val="single" w:sz="4" w:space="0" w:color="000000"/>
              <w:left w:val="single" w:sz="4" w:space="0" w:color="000000"/>
              <w:bottom w:val="single" w:sz="4" w:space="0" w:color="000000"/>
              <w:right w:val="single" w:sz="4" w:space="0" w:color="000000"/>
            </w:tcBorders>
          </w:tcPr>
          <w:p w14:paraId="6B89E03C" w14:textId="77777777" w:rsidR="005B1006" w:rsidRDefault="005B1006" w:rsidP="00A250AE">
            <w:pPr>
              <w:spacing w:after="0" w:line="259" w:lineRule="auto"/>
              <w:ind w:left="0" w:right="41" w:firstLine="0"/>
              <w:jc w:val="center"/>
            </w:pPr>
            <w:r>
              <w:t xml:space="preserve">0,26 </w:t>
            </w:r>
          </w:p>
        </w:tc>
        <w:tc>
          <w:tcPr>
            <w:tcW w:w="730" w:type="dxa"/>
            <w:tcBorders>
              <w:top w:val="single" w:sz="4" w:space="0" w:color="000000"/>
              <w:left w:val="single" w:sz="4" w:space="0" w:color="000000"/>
              <w:bottom w:val="single" w:sz="4" w:space="0" w:color="000000"/>
              <w:right w:val="single" w:sz="4" w:space="0" w:color="000000"/>
            </w:tcBorders>
          </w:tcPr>
          <w:p w14:paraId="236C4B6B" w14:textId="77777777" w:rsidR="005B1006" w:rsidRDefault="005B1006" w:rsidP="00A250AE">
            <w:pPr>
              <w:spacing w:after="0" w:line="259" w:lineRule="auto"/>
              <w:ind w:left="89" w:firstLine="0"/>
            </w:pPr>
            <w:r>
              <w:t xml:space="preserve">1703 </w:t>
            </w:r>
          </w:p>
        </w:tc>
        <w:tc>
          <w:tcPr>
            <w:tcW w:w="1112" w:type="dxa"/>
            <w:tcBorders>
              <w:top w:val="single" w:sz="4" w:space="0" w:color="000000"/>
              <w:left w:val="single" w:sz="4" w:space="0" w:color="000000"/>
              <w:bottom w:val="single" w:sz="4" w:space="0" w:color="000000"/>
              <w:right w:val="single" w:sz="4" w:space="0" w:color="000000"/>
            </w:tcBorders>
          </w:tcPr>
          <w:p w14:paraId="0C9617D3" w14:textId="77777777" w:rsidR="005B1006" w:rsidRDefault="005B1006" w:rsidP="00A250AE">
            <w:pPr>
              <w:spacing w:after="0" w:line="259" w:lineRule="auto"/>
              <w:ind w:left="0" w:right="42" w:firstLine="0"/>
              <w:jc w:val="center"/>
            </w:pPr>
            <w:r>
              <w:t xml:space="preserve">9 </w:t>
            </w:r>
          </w:p>
        </w:tc>
        <w:tc>
          <w:tcPr>
            <w:tcW w:w="1134" w:type="dxa"/>
            <w:tcBorders>
              <w:top w:val="single" w:sz="4" w:space="0" w:color="000000"/>
              <w:left w:val="single" w:sz="4" w:space="0" w:color="000000"/>
              <w:bottom w:val="single" w:sz="4" w:space="0" w:color="000000"/>
              <w:right w:val="single" w:sz="4" w:space="0" w:color="000000"/>
            </w:tcBorders>
          </w:tcPr>
          <w:p w14:paraId="751CA5DB" w14:textId="77777777" w:rsidR="005B1006" w:rsidRDefault="005B1006" w:rsidP="00A250AE">
            <w:pPr>
              <w:spacing w:after="0" w:line="259" w:lineRule="auto"/>
              <w:ind w:left="0" w:right="40" w:firstLine="0"/>
              <w:jc w:val="center"/>
            </w:pPr>
            <w:r>
              <w:t xml:space="preserve">0,23 </w:t>
            </w:r>
          </w:p>
        </w:tc>
        <w:tc>
          <w:tcPr>
            <w:tcW w:w="1755" w:type="dxa"/>
            <w:tcBorders>
              <w:top w:val="single" w:sz="4" w:space="0" w:color="000000"/>
              <w:left w:val="single" w:sz="4" w:space="0" w:color="000000"/>
              <w:bottom w:val="single" w:sz="4" w:space="0" w:color="000000"/>
              <w:right w:val="single" w:sz="4" w:space="0" w:color="000000"/>
            </w:tcBorders>
          </w:tcPr>
          <w:p w14:paraId="6713C934" w14:textId="77777777" w:rsidR="005B1006" w:rsidRDefault="005B1006" w:rsidP="00A250AE">
            <w:pPr>
              <w:spacing w:after="0" w:line="259" w:lineRule="auto"/>
              <w:ind w:left="86" w:firstLine="0"/>
            </w:pPr>
            <w:r>
              <w:t xml:space="preserve">1,14 (0,46; 2,82) </w:t>
            </w:r>
          </w:p>
        </w:tc>
      </w:tr>
      <w:tr w:rsidR="005B1006" w14:paraId="317B29C9"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0549E173" w14:textId="77777777" w:rsidR="005B1006" w:rsidRDefault="005B1006" w:rsidP="00A250AE">
            <w:pPr>
              <w:spacing w:after="0" w:line="259" w:lineRule="auto"/>
              <w:ind w:left="0" w:firstLine="0"/>
              <w:jc w:val="both"/>
            </w:pPr>
            <w:r>
              <w:t xml:space="preserve">&gt; 90 līdz ≤ 110 </w:t>
            </w:r>
          </w:p>
        </w:tc>
        <w:tc>
          <w:tcPr>
            <w:tcW w:w="742" w:type="dxa"/>
            <w:tcBorders>
              <w:top w:val="single" w:sz="4" w:space="0" w:color="000000"/>
              <w:left w:val="single" w:sz="4" w:space="0" w:color="000000"/>
              <w:bottom w:val="single" w:sz="4" w:space="0" w:color="000000"/>
              <w:right w:val="single" w:sz="4" w:space="0" w:color="000000"/>
            </w:tcBorders>
          </w:tcPr>
          <w:p w14:paraId="7E5ABCBC" w14:textId="77777777" w:rsidR="005B1006" w:rsidRDefault="005B1006" w:rsidP="00A250AE">
            <w:pPr>
              <w:spacing w:after="0" w:line="259" w:lineRule="auto"/>
              <w:ind w:left="0" w:right="41" w:firstLine="0"/>
              <w:jc w:val="center"/>
            </w:pPr>
            <w:r>
              <w:t xml:space="preserve">927 </w:t>
            </w:r>
          </w:p>
        </w:tc>
        <w:tc>
          <w:tcPr>
            <w:tcW w:w="1050" w:type="dxa"/>
            <w:tcBorders>
              <w:top w:val="single" w:sz="4" w:space="0" w:color="000000"/>
              <w:left w:val="single" w:sz="4" w:space="0" w:color="000000"/>
              <w:bottom w:val="single" w:sz="4" w:space="0" w:color="000000"/>
              <w:right w:val="single" w:sz="4" w:space="0" w:color="000000"/>
            </w:tcBorders>
          </w:tcPr>
          <w:p w14:paraId="7A076ED5" w14:textId="77777777" w:rsidR="005B1006" w:rsidRDefault="005B1006" w:rsidP="00A250AE">
            <w:pPr>
              <w:spacing w:after="0" w:line="259" w:lineRule="auto"/>
              <w:ind w:left="0" w:right="40" w:firstLine="0"/>
              <w:jc w:val="center"/>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0A33C902" w14:textId="77777777" w:rsidR="005B1006" w:rsidRDefault="005B1006" w:rsidP="00A250AE">
            <w:pPr>
              <w:spacing w:after="0" w:line="259" w:lineRule="auto"/>
              <w:ind w:left="0" w:right="41" w:firstLine="0"/>
              <w:jc w:val="center"/>
            </w:pPr>
            <w:r>
              <w:t xml:space="preserve">0,09 </w:t>
            </w:r>
          </w:p>
        </w:tc>
        <w:tc>
          <w:tcPr>
            <w:tcW w:w="730" w:type="dxa"/>
            <w:tcBorders>
              <w:top w:val="single" w:sz="4" w:space="0" w:color="000000"/>
              <w:left w:val="single" w:sz="4" w:space="0" w:color="000000"/>
              <w:bottom w:val="single" w:sz="4" w:space="0" w:color="000000"/>
              <w:right w:val="single" w:sz="4" w:space="0" w:color="000000"/>
            </w:tcBorders>
          </w:tcPr>
          <w:p w14:paraId="7FB30D4A" w14:textId="77777777" w:rsidR="005B1006" w:rsidRDefault="005B1006" w:rsidP="00A250AE">
            <w:pPr>
              <w:spacing w:after="0" w:line="259" w:lineRule="auto"/>
              <w:ind w:left="0" w:right="41" w:firstLine="0"/>
              <w:jc w:val="center"/>
            </w:pPr>
            <w:r>
              <w:t xml:space="preserve">960 </w:t>
            </w:r>
          </w:p>
        </w:tc>
        <w:tc>
          <w:tcPr>
            <w:tcW w:w="1112" w:type="dxa"/>
            <w:tcBorders>
              <w:top w:val="single" w:sz="4" w:space="0" w:color="000000"/>
              <w:left w:val="single" w:sz="4" w:space="0" w:color="000000"/>
              <w:bottom w:val="single" w:sz="4" w:space="0" w:color="000000"/>
              <w:right w:val="single" w:sz="4" w:space="0" w:color="000000"/>
            </w:tcBorders>
          </w:tcPr>
          <w:p w14:paraId="1311DF99" w14:textId="77777777" w:rsidR="005B1006" w:rsidRDefault="005B1006" w:rsidP="00A250AE">
            <w:pPr>
              <w:spacing w:after="0" w:line="259" w:lineRule="auto"/>
              <w:ind w:left="0" w:right="42" w:firstLine="0"/>
              <w:jc w:val="center"/>
            </w:pPr>
            <w: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2FBBB30B" w14:textId="77777777" w:rsidR="005B1006" w:rsidRDefault="005B1006" w:rsidP="00A250AE">
            <w:pPr>
              <w:spacing w:after="0" w:line="259" w:lineRule="auto"/>
              <w:ind w:left="0" w:right="40" w:firstLine="0"/>
              <w:jc w:val="center"/>
            </w:pPr>
            <w:r>
              <w:t xml:space="preserve">0,13 </w:t>
            </w:r>
          </w:p>
        </w:tc>
        <w:tc>
          <w:tcPr>
            <w:tcW w:w="1755" w:type="dxa"/>
            <w:tcBorders>
              <w:top w:val="single" w:sz="4" w:space="0" w:color="000000"/>
              <w:left w:val="single" w:sz="4" w:space="0" w:color="000000"/>
              <w:bottom w:val="single" w:sz="4" w:space="0" w:color="000000"/>
              <w:right w:val="single" w:sz="4" w:space="0" w:color="000000"/>
            </w:tcBorders>
          </w:tcPr>
          <w:p w14:paraId="4ED08B41" w14:textId="77777777" w:rsidR="005B1006" w:rsidRDefault="005B1006" w:rsidP="00A250AE">
            <w:pPr>
              <w:spacing w:after="0" w:line="259" w:lineRule="auto"/>
              <w:ind w:left="0" w:right="41" w:firstLine="0"/>
              <w:jc w:val="center"/>
            </w:pPr>
            <w:r>
              <w:t>--</w:t>
            </w:r>
            <w:r>
              <w:rPr>
                <w:vertAlign w:val="superscript"/>
              </w:rPr>
              <w:t>*</w:t>
            </w:r>
            <w:r>
              <w:t xml:space="preserve"> </w:t>
            </w:r>
          </w:p>
        </w:tc>
      </w:tr>
      <w:tr w:rsidR="005B1006" w14:paraId="410F5000" w14:textId="77777777" w:rsidTr="00A250AE">
        <w:trPr>
          <w:trHeight w:val="557"/>
        </w:trPr>
        <w:tc>
          <w:tcPr>
            <w:tcW w:w="1469" w:type="dxa"/>
            <w:tcBorders>
              <w:top w:val="single" w:sz="4" w:space="0" w:color="000000"/>
              <w:left w:val="single" w:sz="4" w:space="0" w:color="000000"/>
              <w:bottom w:val="single" w:sz="4" w:space="0" w:color="000000"/>
              <w:right w:val="single" w:sz="4" w:space="0" w:color="000000"/>
            </w:tcBorders>
          </w:tcPr>
          <w:p w14:paraId="5CFED072" w14:textId="77777777" w:rsidR="005B1006" w:rsidRDefault="005B1006" w:rsidP="00A250AE">
            <w:pPr>
              <w:spacing w:after="8" w:line="259" w:lineRule="auto"/>
              <w:ind w:left="0" w:firstLine="0"/>
            </w:pPr>
            <w:r>
              <w:t xml:space="preserve">&gt; 110 līdz </w:t>
            </w:r>
          </w:p>
          <w:p w14:paraId="368F89BE" w14:textId="77777777" w:rsidR="005B1006" w:rsidRDefault="005B1006" w:rsidP="00A250AE">
            <w:pPr>
              <w:spacing w:after="0" w:line="259" w:lineRule="auto"/>
              <w:ind w:left="0" w:firstLine="0"/>
            </w:pPr>
            <w:r>
              <w:t xml:space="preserve">≤ 130 </w:t>
            </w:r>
          </w:p>
        </w:tc>
        <w:tc>
          <w:tcPr>
            <w:tcW w:w="742" w:type="dxa"/>
            <w:tcBorders>
              <w:top w:val="single" w:sz="4" w:space="0" w:color="000000"/>
              <w:left w:val="single" w:sz="4" w:space="0" w:color="000000"/>
              <w:bottom w:val="single" w:sz="4" w:space="0" w:color="000000"/>
              <w:right w:val="single" w:sz="4" w:space="0" w:color="000000"/>
            </w:tcBorders>
          </w:tcPr>
          <w:p w14:paraId="3BA4202E" w14:textId="77777777" w:rsidR="005B1006" w:rsidRDefault="005B1006" w:rsidP="00A250AE">
            <w:pPr>
              <w:spacing w:after="0" w:line="259" w:lineRule="auto"/>
              <w:ind w:left="0" w:right="41" w:firstLine="0"/>
              <w:jc w:val="center"/>
            </w:pPr>
            <w:r>
              <w:t xml:space="preserve">497 </w:t>
            </w:r>
          </w:p>
        </w:tc>
        <w:tc>
          <w:tcPr>
            <w:tcW w:w="1050" w:type="dxa"/>
            <w:tcBorders>
              <w:top w:val="single" w:sz="4" w:space="0" w:color="000000"/>
              <w:left w:val="single" w:sz="4" w:space="0" w:color="000000"/>
              <w:bottom w:val="single" w:sz="4" w:space="0" w:color="000000"/>
              <w:right w:val="single" w:sz="4" w:space="0" w:color="000000"/>
            </w:tcBorders>
          </w:tcPr>
          <w:p w14:paraId="22735C9B" w14:textId="77777777" w:rsidR="005B1006" w:rsidRDefault="005B1006" w:rsidP="00A250AE">
            <w:pPr>
              <w:spacing w:after="0" w:line="259" w:lineRule="auto"/>
              <w:ind w:left="0" w:right="4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3EB45C42" w14:textId="77777777" w:rsidR="005B1006" w:rsidRDefault="005B1006" w:rsidP="00A250AE">
            <w:pPr>
              <w:spacing w:after="0" w:line="259" w:lineRule="auto"/>
              <w:ind w:left="0" w:right="41" w:firstLine="0"/>
              <w:jc w:val="center"/>
            </w:pPr>
            <w:r>
              <w:t xml:space="preserve">0,08 </w:t>
            </w:r>
          </w:p>
        </w:tc>
        <w:tc>
          <w:tcPr>
            <w:tcW w:w="730" w:type="dxa"/>
            <w:tcBorders>
              <w:top w:val="single" w:sz="4" w:space="0" w:color="000000"/>
              <w:left w:val="single" w:sz="4" w:space="0" w:color="000000"/>
              <w:bottom w:val="single" w:sz="4" w:space="0" w:color="000000"/>
              <w:right w:val="single" w:sz="4" w:space="0" w:color="000000"/>
            </w:tcBorders>
          </w:tcPr>
          <w:p w14:paraId="2844216D" w14:textId="77777777" w:rsidR="005B1006" w:rsidRDefault="005B1006" w:rsidP="00A250AE">
            <w:pPr>
              <w:spacing w:after="0" w:line="259" w:lineRule="auto"/>
              <w:ind w:left="0" w:right="41" w:firstLine="0"/>
              <w:jc w:val="center"/>
            </w:pPr>
            <w:r>
              <w:t xml:space="preserve">469 </w:t>
            </w:r>
          </w:p>
        </w:tc>
        <w:tc>
          <w:tcPr>
            <w:tcW w:w="1112" w:type="dxa"/>
            <w:tcBorders>
              <w:top w:val="single" w:sz="4" w:space="0" w:color="000000"/>
              <w:left w:val="single" w:sz="4" w:space="0" w:color="000000"/>
              <w:bottom w:val="single" w:sz="4" w:space="0" w:color="000000"/>
              <w:right w:val="single" w:sz="4" w:space="0" w:color="000000"/>
            </w:tcBorders>
          </w:tcPr>
          <w:p w14:paraId="58C31715" w14:textId="77777777" w:rsidR="005B1006" w:rsidRDefault="005B1006" w:rsidP="00A250AE">
            <w:pPr>
              <w:spacing w:after="0" w:line="259" w:lineRule="auto"/>
              <w:ind w:left="0" w:right="42" w:firstLine="0"/>
              <w:jc w:val="center"/>
            </w:pPr>
            <w:r>
              <w:t xml:space="preserve">5 </w:t>
            </w:r>
          </w:p>
        </w:tc>
        <w:tc>
          <w:tcPr>
            <w:tcW w:w="1134" w:type="dxa"/>
            <w:tcBorders>
              <w:top w:val="single" w:sz="4" w:space="0" w:color="000000"/>
              <w:left w:val="single" w:sz="4" w:space="0" w:color="000000"/>
              <w:bottom w:val="single" w:sz="4" w:space="0" w:color="000000"/>
              <w:right w:val="single" w:sz="4" w:space="0" w:color="000000"/>
            </w:tcBorders>
          </w:tcPr>
          <w:p w14:paraId="4F595B37" w14:textId="77777777" w:rsidR="005B1006" w:rsidRDefault="005B1006" w:rsidP="00A250AE">
            <w:pPr>
              <w:spacing w:after="0" w:line="259" w:lineRule="auto"/>
              <w:ind w:left="0" w:right="40" w:firstLine="0"/>
              <w:jc w:val="center"/>
            </w:pPr>
            <w:r>
              <w:t xml:space="preserve">0,44 </w:t>
            </w:r>
          </w:p>
        </w:tc>
        <w:tc>
          <w:tcPr>
            <w:tcW w:w="1755" w:type="dxa"/>
            <w:tcBorders>
              <w:top w:val="single" w:sz="4" w:space="0" w:color="000000"/>
              <w:left w:val="single" w:sz="4" w:space="0" w:color="000000"/>
              <w:bottom w:val="single" w:sz="4" w:space="0" w:color="000000"/>
              <w:right w:val="single" w:sz="4" w:space="0" w:color="000000"/>
            </w:tcBorders>
          </w:tcPr>
          <w:p w14:paraId="320D3DF9" w14:textId="77777777" w:rsidR="005B1006" w:rsidRDefault="005B1006" w:rsidP="00A250AE">
            <w:pPr>
              <w:spacing w:after="0" w:line="259" w:lineRule="auto"/>
              <w:ind w:left="0" w:right="41" w:firstLine="0"/>
              <w:jc w:val="center"/>
            </w:pPr>
            <w:r>
              <w:t>--</w:t>
            </w:r>
            <w:r>
              <w:rPr>
                <w:vertAlign w:val="superscript"/>
              </w:rPr>
              <w:t>*</w:t>
            </w:r>
            <w:r>
              <w:t xml:space="preserve"> </w:t>
            </w:r>
          </w:p>
        </w:tc>
      </w:tr>
      <w:tr w:rsidR="005B1006" w14:paraId="62249C45"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037CE1FA" w14:textId="77777777" w:rsidR="005B1006" w:rsidRDefault="005B1006" w:rsidP="00A250AE">
            <w:pPr>
              <w:spacing w:after="0" w:line="259" w:lineRule="auto"/>
              <w:ind w:left="0" w:firstLine="0"/>
            </w:pPr>
            <w:r>
              <w:t xml:space="preserve">&gt; 130 </w:t>
            </w:r>
          </w:p>
        </w:tc>
        <w:tc>
          <w:tcPr>
            <w:tcW w:w="742" w:type="dxa"/>
            <w:tcBorders>
              <w:top w:val="single" w:sz="4" w:space="0" w:color="000000"/>
              <w:left w:val="single" w:sz="4" w:space="0" w:color="000000"/>
              <w:bottom w:val="single" w:sz="4" w:space="0" w:color="000000"/>
              <w:right w:val="single" w:sz="4" w:space="0" w:color="000000"/>
            </w:tcBorders>
          </w:tcPr>
          <w:p w14:paraId="68F5DC5B" w14:textId="77777777" w:rsidR="005B1006" w:rsidRDefault="005B1006" w:rsidP="00A250AE">
            <w:pPr>
              <w:spacing w:after="0" w:line="259" w:lineRule="auto"/>
              <w:ind w:left="0" w:right="41" w:firstLine="0"/>
              <w:jc w:val="center"/>
            </w:pPr>
            <w:r>
              <w:t xml:space="preserve">462 </w:t>
            </w:r>
          </w:p>
        </w:tc>
        <w:tc>
          <w:tcPr>
            <w:tcW w:w="1050" w:type="dxa"/>
            <w:tcBorders>
              <w:top w:val="single" w:sz="4" w:space="0" w:color="000000"/>
              <w:left w:val="single" w:sz="4" w:space="0" w:color="000000"/>
              <w:bottom w:val="single" w:sz="4" w:space="0" w:color="000000"/>
              <w:right w:val="single" w:sz="4" w:space="0" w:color="000000"/>
            </w:tcBorders>
          </w:tcPr>
          <w:p w14:paraId="3B13732A" w14:textId="77777777" w:rsidR="005B1006" w:rsidRDefault="005B1006" w:rsidP="00A250AE">
            <w:pPr>
              <w:spacing w:after="0" w:line="259" w:lineRule="auto"/>
              <w:ind w:left="0" w:right="40" w:firstLine="0"/>
              <w:jc w:val="center"/>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7435DF82" w14:textId="77777777" w:rsidR="005B1006" w:rsidRDefault="005B1006" w:rsidP="00A250AE">
            <w:pPr>
              <w:spacing w:after="0" w:line="259" w:lineRule="auto"/>
              <w:ind w:left="0" w:right="41" w:firstLine="0"/>
              <w:jc w:val="center"/>
            </w:pPr>
            <w:r>
              <w:t xml:space="preserve">0,18 </w:t>
            </w:r>
          </w:p>
        </w:tc>
        <w:tc>
          <w:tcPr>
            <w:tcW w:w="730" w:type="dxa"/>
            <w:tcBorders>
              <w:top w:val="single" w:sz="4" w:space="0" w:color="000000"/>
              <w:left w:val="single" w:sz="4" w:space="0" w:color="000000"/>
              <w:bottom w:val="single" w:sz="4" w:space="0" w:color="000000"/>
              <w:right w:val="single" w:sz="4" w:space="0" w:color="000000"/>
            </w:tcBorders>
          </w:tcPr>
          <w:p w14:paraId="51CC627B" w14:textId="77777777" w:rsidR="005B1006" w:rsidRDefault="005B1006" w:rsidP="00A250AE">
            <w:pPr>
              <w:spacing w:after="0" w:line="259" w:lineRule="auto"/>
              <w:ind w:left="0" w:right="41" w:firstLine="0"/>
              <w:jc w:val="center"/>
            </w:pPr>
            <w:r>
              <w:t xml:space="preserve">418 </w:t>
            </w:r>
          </w:p>
        </w:tc>
        <w:tc>
          <w:tcPr>
            <w:tcW w:w="1112" w:type="dxa"/>
            <w:tcBorders>
              <w:top w:val="single" w:sz="4" w:space="0" w:color="000000"/>
              <w:left w:val="single" w:sz="4" w:space="0" w:color="000000"/>
              <w:bottom w:val="single" w:sz="4" w:space="0" w:color="000000"/>
              <w:right w:val="single" w:sz="4" w:space="0" w:color="000000"/>
            </w:tcBorders>
          </w:tcPr>
          <w:p w14:paraId="28EAE406" w14:textId="77777777" w:rsidR="005B1006" w:rsidRDefault="005B1006" w:rsidP="00A250AE">
            <w:pPr>
              <w:spacing w:after="0" w:line="259" w:lineRule="auto"/>
              <w:ind w:left="0" w:right="42" w:firstLine="0"/>
              <w:jc w:val="center"/>
            </w:pPr>
            <w:r>
              <w:t xml:space="preserve">0 </w:t>
            </w:r>
          </w:p>
        </w:tc>
        <w:tc>
          <w:tcPr>
            <w:tcW w:w="1134" w:type="dxa"/>
            <w:tcBorders>
              <w:top w:val="single" w:sz="4" w:space="0" w:color="000000"/>
              <w:left w:val="single" w:sz="4" w:space="0" w:color="000000"/>
              <w:bottom w:val="single" w:sz="4" w:space="0" w:color="000000"/>
              <w:right w:val="single" w:sz="4" w:space="0" w:color="000000"/>
            </w:tcBorders>
          </w:tcPr>
          <w:p w14:paraId="563A7DC4" w14:textId="77777777" w:rsidR="005B1006" w:rsidRDefault="005B1006" w:rsidP="00A250AE">
            <w:pPr>
              <w:spacing w:after="0" w:line="259" w:lineRule="auto"/>
              <w:ind w:left="0" w:right="40" w:firstLine="0"/>
              <w:jc w:val="center"/>
            </w:pPr>
            <w:r>
              <w:t xml:space="preserve">0,00 </w:t>
            </w:r>
          </w:p>
        </w:tc>
        <w:tc>
          <w:tcPr>
            <w:tcW w:w="1755" w:type="dxa"/>
            <w:tcBorders>
              <w:top w:val="single" w:sz="4" w:space="0" w:color="000000"/>
              <w:left w:val="single" w:sz="4" w:space="0" w:color="000000"/>
              <w:bottom w:val="single" w:sz="4" w:space="0" w:color="000000"/>
              <w:right w:val="single" w:sz="4" w:space="0" w:color="000000"/>
            </w:tcBorders>
          </w:tcPr>
          <w:p w14:paraId="1CF79BE7" w14:textId="77777777" w:rsidR="005B1006" w:rsidRDefault="005B1006" w:rsidP="00A250AE">
            <w:pPr>
              <w:spacing w:after="0" w:line="259" w:lineRule="auto"/>
              <w:ind w:left="0" w:right="41" w:firstLine="0"/>
              <w:jc w:val="center"/>
            </w:pPr>
            <w:r>
              <w:t>--</w:t>
            </w:r>
            <w:r>
              <w:rPr>
                <w:vertAlign w:val="superscript"/>
              </w:rPr>
              <w:t>*</w:t>
            </w:r>
            <w:r>
              <w:t xml:space="preserve"> </w:t>
            </w:r>
          </w:p>
        </w:tc>
      </w:tr>
    </w:tbl>
    <w:p w14:paraId="318BFB7A" w14:textId="77777777" w:rsidR="005B1006" w:rsidRDefault="005B1006" w:rsidP="005B1006">
      <w:pPr>
        <w:spacing w:after="53" w:line="259" w:lineRule="auto"/>
        <w:ind w:firstLine="0"/>
      </w:pPr>
      <w:r>
        <w:t xml:space="preserve"> </w:t>
      </w:r>
    </w:p>
    <w:p w14:paraId="623B4D30" w14:textId="77777777" w:rsidR="005B1006" w:rsidRDefault="005B1006" w:rsidP="005B1006">
      <w:pPr>
        <w:pStyle w:val="Heading4"/>
        <w:ind w:left="914" w:right="0" w:hanging="924"/>
      </w:pPr>
      <w:r>
        <w:t>9. tabula. Intrakraniālas asiņošanas notikumu skaits atbilstoši CrCl kategorijai ENGAGE AFTIMI 48, drošuma analīze ārstēšanās laikā</w:t>
      </w:r>
      <w:r>
        <w:rPr>
          <w:vertAlign w:val="superscript"/>
        </w:rPr>
        <w:t>a</w:t>
      </w:r>
      <w:r>
        <w:t xml:space="preserve"> </w:t>
      </w:r>
    </w:p>
    <w:tbl>
      <w:tblPr>
        <w:tblStyle w:val="TableGrid"/>
        <w:tblW w:w="9124" w:type="dxa"/>
        <w:tblInd w:w="68" w:type="dxa"/>
        <w:tblCellMar>
          <w:top w:w="0" w:type="dxa"/>
          <w:left w:w="55" w:type="dxa"/>
          <w:bottom w:w="0" w:type="dxa"/>
          <w:right w:w="15" w:type="dxa"/>
        </w:tblCellMar>
        <w:tblLook w:val="04A0" w:firstRow="1" w:lastRow="0" w:firstColumn="1" w:lastColumn="0" w:noHBand="0" w:noVBand="1"/>
      </w:tblPr>
      <w:tblGrid>
        <w:gridCol w:w="1468"/>
        <w:gridCol w:w="742"/>
        <w:gridCol w:w="1050"/>
        <w:gridCol w:w="1133"/>
        <w:gridCol w:w="730"/>
        <w:gridCol w:w="1112"/>
        <w:gridCol w:w="1134"/>
        <w:gridCol w:w="1755"/>
      </w:tblGrid>
      <w:tr w:rsidR="005B1006" w14:paraId="521AAFD8" w14:textId="77777777" w:rsidTr="00A250AE">
        <w:trPr>
          <w:trHeight w:val="569"/>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80D0A6C" w14:textId="77777777" w:rsidR="005B1006" w:rsidRDefault="005B1006" w:rsidP="00A250AE">
            <w:pPr>
              <w:spacing w:after="53" w:line="225" w:lineRule="auto"/>
              <w:ind w:left="0" w:firstLine="0"/>
              <w:jc w:val="center"/>
            </w:pPr>
            <w:r>
              <w:rPr>
                <w:b/>
              </w:rPr>
              <w:t xml:space="preserve">CrCl apakšgrupa </w:t>
            </w:r>
          </w:p>
          <w:p w14:paraId="47559EDC" w14:textId="77777777" w:rsidR="005B1006" w:rsidRDefault="005B1006" w:rsidP="00A250AE">
            <w:pPr>
              <w:spacing w:after="0" w:line="259" w:lineRule="auto"/>
              <w:ind w:left="0" w:right="44" w:firstLine="0"/>
              <w:jc w:val="center"/>
            </w:pPr>
            <w:r>
              <w:rPr>
                <w:b/>
              </w:rPr>
              <w:t xml:space="preserve">(ml/min) </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ABC3EA8" w14:textId="77777777" w:rsidR="005B1006" w:rsidRDefault="005B1006" w:rsidP="00A250AE">
            <w:pPr>
              <w:spacing w:after="0" w:line="259" w:lineRule="auto"/>
              <w:ind w:left="410" w:right="397" w:firstLine="0"/>
              <w:jc w:val="center"/>
            </w:pPr>
            <w:r>
              <w:rPr>
                <w:b/>
              </w:rPr>
              <w:t xml:space="preserve">Edoksabāns 60 mg (N = 7012) </w:t>
            </w:r>
          </w:p>
        </w:tc>
        <w:tc>
          <w:tcPr>
            <w:tcW w:w="730" w:type="dxa"/>
            <w:tcBorders>
              <w:top w:val="single" w:sz="4" w:space="0" w:color="000000"/>
              <w:left w:val="single" w:sz="4" w:space="0" w:color="000000"/>
              <w:bottom w:val="single" w:sz="4" w:space="0" w:color="000000"/>
              <w:right w:val="nil"/>
            </w:tcBorders>
            <w:shd w:val="clear" w:color="auto" w:fill="D9D9D9"/>
          </w:tcPr>
          <w:p w14:paraId="62BC799D" w14:textId="77777777" w:rsidR="005B1006" w:rsidRDefault="005B1006" w:rsidP="00A250AE">
            <w:pPr>
              <w:spacing w:after="160" w:line="259" w:lineRule="auto"/>
              <w:ind w:left="0" w:firstLine="0"/>
            </w:pPr>
          </w:p>
        </w:tc>
        <w:tc>
          <w:tcPr>
            <w:tcW w:w="2246" w:type="dxa"/>
            <w:gridSpan w:val="2"/>
            <w:tcBorders>
              <w:top w:val="single" w:sz="4" w:space="0" w:color="000000"/>
              <w:left w:val="nil"/>
              <w:bottom w:val="single" w:sz="4" w:space="0" w:color="000000"/>
              <w:right w:val="single" w:sz="4" w:space="0" w:color="000000"/>
            </w:tcBorders>
            <w:shd w:val="clear" w:color="auto" w:fill="D9D9D9"/>
          </w:tcPr>
          <w:p w14:paraId="739259EB" w14:textId="77777777" w:rsidR="005B1006" w:rsidRDefault="005B1006" w:rsidP="00A250AE">
            <w:pPr>
              <w:spacing w:after="0" w:line="259" w:lineRule="auto"/>
              <w:ind w:left="212" w:right="728" w:firstLine="32"/>
            </w:pPr>
            <w:r>
              <w:rPr>
                <w:b/>
              </w:rPr>
              <w:t xml:space="preserve">Varfarīns (N = 7012)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50907D10" w14:textId="77777777" w:rsidR="005B1006" w:rsidRDefault="005B1006" w:rsidP="00A250AE">
            <w:pPr>
              <w:spacing w:after="0" w:line="259" w:lineRule="auto"/>
              <w:ind w:left="14" w:firstLine="0"/>
              <w:jc w:val="center"/>
            </w:pPr>
            <w:r>
              <w:rPr>
                <w:b/>
              </w:rPr>
              <w:t xml:space="preserve"> </w:t>
            </w:r>
          </w:p>
        </w:tc>
      </w:tr>
      <w:tr w:rsidR="005B1006" w14:paraId="5F502CD5" w14:textId="77777777" w:rsidTr="00A250AE">
        <w:trPr>
          <w:trHeight w:val="818"/>
        </w:trPr>
        <w:tc>
          <w:tcPr>
            <w:tcW w:w="0" w:type="auto"/>
            <w:vMerge/>
            <w:tcBorders>
              <w:top w:val="nil"/>
              <w:left w:val="single" w:sz="4" w:space="0" w:color="000000"/>
              <w:bottom w:val="single" w:sz="4" w:space="0" w:color="000000"/>
              <w:right w:val="single" w:sz="4" w:space="0" w:color="000000"/>
            </w:tcBorders>
          </w:tcPr>
          <w:p w14:paraId="64D8D3EC" w14:textId="77777777" w:rsidR="005B1006" w:rsidRDefault="005B1006" w:rsidP="00A250AE">
            <w:pPr>
              <w:spacing w:after="160" w:line="259" w:lineRule="auto"/>
              <w:ind w:left="0" w:firstLine="0"/>
            </w:pPr>
          </w:p>
        </w:tc>
        <w:tc>
          <w:tcPr>
            <w:tcW w:w="742" w:type="dxa"/>
            <w:tcBorders>
              <w:top w:val="single" w:sz="4" w:space="0" w:color="000000"/>
              <w:left w:val="single" w:sz="4" w:space="0" w:color="000000"/>
              <w:bottom w:val="single" w:sz="4" w:space="0" w:color="000000"/>
              <w:right w:val="single" w:sz="4" w:space="0" w:color="000000"/>
            </w:tcBorders>
            <w:shd w:val="clear" w:color="auto" w:fill="D9D9D9"/>
          </w:tcPr>
          <w:p w14:paraId="6D46F87F" w14:textId="77777777" w:rsidR="005B1006" w:rsidRDefault="005B1006" w:rsidP="00A250AE">
            <w:pPr>
              <w:spacing w:after="0" w:line="259" w:lineRule="auto"/>
              <w:ind w:left="0" w:right="41" w:firstLine="0"/>
              <w:jc w:val="center"/>
            </w:pPr>
            <w:r>
              <w:rPr>
                <w:b/>
              </w:rPr>
              <w:t xml:space="preserve">n </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cPr>
          <w:p w14:paraId="56B81254" w14:textId="77777777" w:rsidR="005B1006" w:rsidRDefault="005B1006" w:rsidP="00A250AE">
            <w:pPr>
              <w:spacing w:after="0" w:line="259" w:lineRule="auto"/>
              <w:ind w:left="0" w:firstLine="0"/>
              <w:jc w:val="center"/>
            </w:pPr>
            <w:r>
              <w:rPr>
                <w:b/>
                <w:sz w:val="20"/>
              </w:rPr>
              <w:t xml:space="preserve">Notikumu skaits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EA3F375" w14:textId="77777777" w:rsidR="005B1006" w:rsidRDefault="005B1006" w:rsidP="00A250AE">
            <w:pPr>
              <w:spacing w:after="40" w:line="319" w:lineRule="auto"/>
              <w:ind w:left="0" w:firstLine="0"/>
              <w:jc w:val="center"/>
            </w:pPr>
            <w:r>
              <w:rPr>
                <w:b/>
                <w:sz w:val="20"/>
              </w:rPr>
              <w:t>Notikumu rādītājs</w:t>
            </w:r>
            <w:r>
              <w:rPr>
                <w:sz w:val="20"/>
              </w:rPr>
              <w:t xml:space="preserve"> </w:t>
            </w:r>
          </w:p>
          <w:p w14:paraId="22BFD2A1" w14:textId="77777777" w:rsidR="005B1006" w:rsidRDefault="005B1006" w:rsidP="00A250AE">
            <w:pPr>
              <w:spacing w:after="0" w:line="259" w:lineRule="auto"/>
              <w:ind w:left="110" w:firstLine="0"/>
            </w:pPr>
            <w:r>
              <w:rPr>
                <w:b/>
                <w:sz w:val="20"/>
              </w:rPr>
              <w:t>(%/gadā)</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34003F88" w14:textId="77777777" w:rsidR="005B1006" w:rsidRDefault="005B1006" w:rsidP="00A250AE">
            <w:pPr>
              <w:spacing w:after="0" w:line="259" w:lineRule="auto"/>
              <w:ind w:left="0" w:right="43" w:firstLine="0"/>
              <w:jc w:val="center"/>
            </w:pPr>
            <w:r>
              <w:rPr>
                <w:b/>
              </w:rPr>
              <w:t xml:space="preserve">n </w:t>
            </w:r>
          </w:p>
        </w:tc>
        <w:tc>
          <w:tcPr>
            <w:tcW w:w="1112" w:type="dxa"/>
            <w:tcBorders>
              <w:top w:val="single" w:sz="4" w:space="0" w:color="000000"/>
              <w:left w:val="single" w:sz="4" w:space="0" w:color="000000"/>
              <w:bottom w:val="single" w:sz="4" w:space="0" w:color="000000"/>
              <w:right w:val="single" w:sz="4" w:space="0" w:color="000000"/>
            </w:tcBorders>
            <w:shd w:val="clear" w:color="auto" w:fill="D9D9D9"/>
          </w:tcPr>
          <w:p w14:paraId="08922478" w14:textId="77777777" w:rsidR="005B1006" w:rsidRDefault="005B1006" w:rsidP="00A250AE">
            <w:pPr>
              <w:spacing w:after="0" w:line="259" w:lineRule="auto"/>
              <w:ind w:left="0" w:firstLine="0"/>
              <w:jc w:val="center"/>
            </w:pPr>
            <w:r>
              <w:rPr>
                <w:b/>
                <w:sz w:val="20"/>
              </w:rPr>
              <w:t xml:space="preserve">Notikumu skaits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98DBDD3" w14:textId="77777777" w:rsidR="005B1006" w:rsidRDefault="005B1006" w:rsidP="00A250AE">
            <w:pPr>
              <w:spacing w:after="48" w:line="305" w:lineRule="auto"/>
              <w:ind w:left="0" w:firstLine="0"/>
              <w:jc w:val="center"/>
            </w:pPr>
            <w:r>
              <w:rPr>
                <w:b/>
                <w:sz w:val="20"/>
              </w:rPr>
              <w:t xml:space="preserve">Notikumu rādītājs </w:t>
            </w:r>
          </w:p>
          <w:p w14:paraId="7DB82443" w14:textId="77777777" w:rsidR="005B1006" w:rsidRDefault="005B1006" w:rsidP="00A250AE">
            <w:pPr>
              <w:spacing w:after="0" w:line="259" w:lineRule="auto"/>
              <w:ind w:left="112" w:firstLine="0"/>
            </w:pPr>
            <w:r>
              <w:rPr>
                <w:b/>
                <w:sz w:val="20"/>
              </w:rPr>
              <w:t xml:space="preserve">(%/gadā)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14:paraId="1C540BAA" w14:textId="77777777" w:rsidR="005B1006" w:rsidRDefault="005B1006" w:rsidP="00A250AE">
            <w:pPr>
              <w:spacing w:after="0" w:line="259" w:lineRule="auto"/>
              <w:ind w:left="0" w:right="40" w:firstLine="0"/>
              <w:jc w:val="center"/>
            </w:pPr>
            <w:r>
              <w:rPr>
                <w:b/>
              </w:rPr>
              <w:t xml:space="preserve">HR (95% TI) </w:t>
            </w:r>
          </w:p>
        </w:tc>
      </w:tr>
      <w:tr w:rsidR="005B1006" w14:paraId="60F9F1D9" w14:textId="77777777" w:rsidTr="00A250AE">
        <w:trPr>
          <w:trHeight w:val="305"/>
        </w:trPr>
        <w:tc>
          <w:tcPr>
            <w:tcW w:w="1469" w:type="dxa"/>
            <w:tcBorders>
              <w:top w:val="single" w:sz="4" w:space="0" w:color="000000"/>
              <w:left w:val="single" w:sz="4" w:space="0" w:color="000000"/>
              <w:bottom w:val="single" w:sz="4" w:space="0" w:color="000000"/>
              <w:right w:val="single" w:sz="4" w:space="0" w:color="000000"/>
            </w:tcBorders>
          </w:tcPr>
          <w:p w14:paraId="21D4CA70" w14:textId="77777777" w:rsidR="005B1006" w:rsidRDefault="005B1006" w:rsidP="00A250AE">
            <w:pPr>
              <w:spacing w:after="0" w:line="259" w:lineRule="auto"/>
              <w:ind w:left="0" w:firstLine="0"/>
            </w:pPr>
            <w:r>
              <w:t xml:space="preserve">≥ 30 līdz ≤ 50 </w:t>
            </w:r>
          </w:p>
        </w:tc>
        <w:tc>
          <w:tcPr>
            <w:tcW w:w="742" w:type="dxa"/>
            <w:tcBorders>
              <w:top w:val="single" w:sz="4" w:space="0" w:color="000000"/>
              <w:left w:val="single" w:sz="4" w:space="0" w:color="000000"/>
              <w:bottom w:val="single" w:sz="4" w:space="0" w:color="000000"/>
              <w:right w:val="single" w:sz="4" w:space="0" w:color="000000"/>
            </w:tcBorders>
          </w:tcPr>
          <w:p w14:paraId="7B66E31B" w14:textId="77777777" w:rsidR="005B1006" w:rsidRDefault="005B1006" w:rsidP="00A250AE">
            <w:pPr>
              <w:spacing w:after="0" w:line="259" w:lineRule="auto"/>
              <w:ind w:left="95" w:firstLine="0"/>
            </w:pPr>
            <w:r>
              <w:t xml:space="preserve">1302 </w:t>
            </w:r>
          </w:p>
        </w:tc>
        <w:tc>
          <w:tcPr>
            <w:tcW w:w="1050" w:type="dxa"/>
            <w:tcBorders>
              <w:top w:val="single" w:sz="4" w:space="0" w:color="000000"/>
              <w:left w:val="single" w:sz="4" w:space="0" w:color="000000"/>
              <w:bottom w:val="single" w:sz="4" w:space="0" w:color="000000"/>
              <w:right w:val="single" w:sz="4" w:space="0" w:color="000000"/>
            </w:tcBorders>
          </w:tcPr>
          <w:p w14:paraId="35237A65" w14:textId="77777777" w:rsidR="005B1006" w:rsidRDefault="005B1006" w:rsidP="00A250AE">
            <w:pPr>
              <w:spacing w:after="0" w:line="259" w:lineRule="auto"/>
              <w:ind w:left="0" w:right="40" w:firstLine="0"/>
              <w:jc w:val="center"/>
            </w:pPr>
            <w:r>
              <w:t xml:space="preserve">16 </w:t>
            </w:r>
          </w:p>
        </w:tc>
        <w:tc>
          <w:tcPr>
            <w:tcW w:w="1133" w:type="dxa"/>
            <w:tcBorders>
              <w:top w:val="single" w:sz="4" w:space="0" w:color="000000"/>
              <w:left w:val="single" w:sz="4" w:space="0" w:color="000000"/>
              <w:bottom w:val="single" w:sz="4" w:space="0" w:color="000000"/>
              <w:right w:val="single" w:sz="4" w:space="0" w:color="000000"/>
            </w:tcBorders>
          </w:tcPr>
          <w:p w14:paraId="2D1B4AA3" w14:textId="77777777" w:rsidR="005B1006" w:rsidRDefault="005B1006" w:rsidP="00A250AE">
            <w:pPr>
              <w:spacing w:after="0" w:line="259" w:lineRule="auto"/>
              <w:ind w:left="0" w:right="41" w:firstLine="0"/>
              <w:jc w:val="center"/>
            </w:pPr>
            <w:r>
              <w:t xml:space="preserve">0,64 </w:t>
            </w:r>
          </w:p>
        </w:tc>
        <w:tc>
          <w:tcPr>
            <w:tcW w:w="730" w:type="dxa"/>
            <w:tcBorders>
              <w:top w:val="single" w:sz="4" w:space="0" w:color="000000"/>
              <w:left w:val="single" w:sz="4" w:space="0" w:color="000000"/>
              <w:bottom w:val="single" w:sz="4" w:space="0" w:color="000000"/>
              <w:right w:val="single" w:sz="4" w:space="0" w:color="000000"/>
            </w:tcBorders>
          </w:tcPr>
          <w:p w14:paraId="0B0B0FCE" w14:textId="77777777" w:rsidR="005B1006" w:rsidRDefault="005B1006" w:rsidP="00A250AE">
            <w:pPr>
              <w:spacing w:after="0" w:line="259" w:lineRule="auto"/>
              <w:ind w:left="89" w:firstLine="0"/>
            </w:pPr>
            <w:r>
              <w:t xml:space="preserve">1305 </w:t>
            </w:r>
          </w:p>
        </w:tc>
        <w:tc>
          <w:tcPr>
            <w:tcW w:w="1112" w:type="dxa"/>
            <w:tcBorders>
              <w:top w:val="single" w:sz="4" w:space="0" w:color="000000"/>
              <w:left w:val="single" w:sz="4" w:space="0" w:color="000000"/>
              <w:bottom w:val="single" w:sz="4" w:space="0" w:color="000000"/>
              <w:right w:val="single" w:sz="4" w:space="0" w:color="000000"/>
            </w:tcBorders>
          </w:tcPr>
          <w:p w14:paraId="426A1B57" w14:textId="77777777" w:rsidR="005B1006" w:rsidRDefault="005B1006" w:rsidP="00A250AE">
            <w:pPr>
              <w:spacing w:after="0" w:line="259" w:lineRule="auto"/>
              <w:ind w:left="0" w:right="42" w:firstLine="0"/>
              <w:jc w:val="center"/>
            </w:pPr>
            <w: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7BA7B9B6" w14:textId="77777777" w:rsidR="005B1006" w:rsidRDefault="005B1006" w:rsidP="00A250AE">
            <w:pPr>
              <w:spacing w:after="0" w:line="259" w:lineRule="auto"/>
              <w:ind w:left="0" w:right="40" w:firstLine="0"/>
              <w:jc w:val="center"/>
            </w:pPr>
            <w:r>
              <w:t xml:space="preserve">1,40 </w:t>
            </w:r>
          </w:p>
        </w:tc>
        <w:tc>
          <w:tcPr>
            <w:tcW w:w="1755" w:type="dxa"/>
            <w:tcBorders>
              <w:top w:val="single" w:sz="4" w:space="0" w:color="000000"/>
              <w:left w:val="single" w:sz="4" w:space="0" w:color="000000"/>
              <w:bottom w:val="single" w:sz="4" w:space="0" w:color="000000"/>
              <w:right w:val="single" w:sz="4" w:space="0" w:color="000000"/>
            </w:tcBorders>
          </w:tcPr>
          <w:p w14:paraId="6C8C648A" w14:textId="77777777" w:rsidR="005B1006" w:rsidRDefault="005B1006" w:rsidP="00A250AE">
            <w:pPr>
              <w:spacing w:after="0" w:line="259" w:lineRule="auto"/>
              <w:ind w:left="86" w:firstLine="0"/>
            </w:pPr>
            <w:r>
              <w:t xml:space="preserve">0,45 (0,25; 0,81) </w:t>
            </w:r>
          </w:p>
        </w:tc>
      </w:tr>
      <w:tr w:rsidR="005B1006" w14:paraId="37693656"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6FC00B70" w14:textId="77777777" w:rsidR="005B1006" w:rsidRDefault="005B1006" w:rsidP="00A250AE">
            <w:pPr>
              <w:spacing w:after="0" w:line="259" w:lineRule="auto"/>
              <w:ind w:left="0" w:firstLine="0"/>
            </w:pPr>
            <w:r>
              <w:t xml:space="preserve">&gt; 50 līdz ≤ 70 </w:t>
            </w:r>
          </w:p>
        </w:tc>
        <w:tc>
          <w:tcPr>
            <w:tcW w:w="742" w:type="dxa"/>
            <w:tcBorders>
              <w:top w:val="single" w:sz="4" w:space="0" w:color="000000"/>
              <w:left w:val="single" w:sz="4" w:space="0" w:color="000000"/>
              <w:bottom w:val="single" w:sz="4" w:space="0" w:color="000000"/>
              <w:right w:val="single" w:sz="4" w:space="0" w:color="000000"/>
            </w:tcBorders>
          </w:tcPr>
          <w:p w14:paraId="3583C053" w14:textId="77777777" w:rsidR="005B1006" w:rsidRDefault="005B1006" w:rsidP="00A250AE">
            <w:pPr>
              <w:spacing w:after="0" w:line="259" w:lineRule="auto"/>
              <w:ind w:left="95" w:firstLine="0"/>
            </w:pPr>
            <w:r>
              <w:t xml:space="preserve">2093 </w:t>
            </w:r>
          </w:p>
        </w:tc>
        <w:tc>
          <w:tcPr>
            <w:tcW w:w="1050" w:type="dxa"/>
            <w:tcBorders>
              <w:top w:val="single" w:sz="4" w:space="0" w:color="000000"/>
              <w:left w:val="single" w:sz="4" w:space="0" w:color="000000"/>
              <w:bottom w:val="single" w:sz="4" w:space="0" w:color="000000"/>
              <w:right w:val="single" w:sz="4" w:space="0" w:color="000000"/>
            </w:tcBorders>
          </w:tcPr>
          <w:p w14:paraId="1A75F4B7" w14:textId="77777777" w:rsidR="005B1006" w:rsidRDefault="005B1006" w:rsidP="00A250AE">
            <w:pPr>
              <w:spacing w:after="0" w:line="259" w:lineRule="auto"/>
              <w:ind w:left="0" w:right="40" w:firstLine="0"/>
              <w:jc w:val="center"/>
            </w:pPr>
            <w:r>
              <w:t xml:space="preserve">19 </w:t>
            </w:r>
          </w:p>
        </w:tc>
        <w:tc>
          <w:tcPr>
            <w:tcW w:w="1133" w:type="dxa"/>
            <w:tcBorders>
              <w:top w:val="single" w:sz="4" w:space="0" w:color="000000"/>
              <w:left w:val="single" w:sz="4" w:space="0" w:color="000000"/>
              <w:bottom w:val="single" w:sz="4" w:space="0" w:color="000000"/>
              <w:right w:val="single" w:sz="4" w:space="0" w:color="000000"/>
            </w:tcBorders>
          </w:tcPr>
          <w:p w14:paraId="3A39CBAD" w14:textId="77777777" w:rsidR="005B1006" w:rsidRDefault="005B1006" w:rsidP="00A250AE">
            <w:pPr>
              <w:spacing w:after="0" w:line="259" w:lineRule="auto"/>
              <w:ind w:left="0" w:right="41" w:firstLine="0"/>
              <w:jc w:val="center"/>
            </w:pPr>
            <w:r>
              <w:t xml:space="preserve">0,42 </w:t>
            </w:r>
          </w:p>
        </w:tc>
        <w:tc>
          <w:tcPr>
            <w:tcW w:w="730" w:type="dxa"/>
            <w:tcBorders>
              <w:top w:val="single" w:sz="4" w:space="0" w:color="000000"/>
              <w:left w:val="single" w:sz="4" w:space="0" w:color="000000"/>
              <w:bottom w:val="single" w:sz="4" w:space="0" w:color="000000"/>
              <w:right w:val="single" w:sz="4" w:space="0" w:color="000000"/>
            </w:tcBorders>
          </w:tcPr>
          <w:p w14:paraId="5647725B" w14:textId="77777777" w:rsidR="005B1006" w:rsidRDefault="005B1006" w:rsidP="00A250AE">
            <w:pPr>
              <w:spacing w:after="0" w:line="259" w:lineRule="auto"/>
              <w:ind w:left="89" w:firstLine="0"/>
            </w:pPr>
            <w:r>
              <w:t xml:space="preserve">2106 </w:t>
            </w:r>
          </w:p>
        </w:tc>
        <w:tc>
          <w:tcPr>
            <w:tcW w:w="1112" w:type="dxa"/>
            <w:tcBorders>
              <w:top w:val="single" w:sz="4" w:space="0" w:color="000000"/>
              <w:left w:val="single" w:sz="4" w:space="0" w:color="000000"/>
              <w:bottom w:val="single" w:sz="4" w:space="0" w:color="000000"/>
              <w:right w:val="single" w:sz="4" w:space="0" w:color="000000"/>
            </w:tcBorders>
          </w:tcPr>
          <w:p w14:paraId="0DFAE3FB" w14:textId="77777777" w:rsidR="005B1006" w:rsidRDefault="005B1006" w:rsidP="00A250AE">
            <w:pPr>
              <w:spacing w:after="0" w:line="259" w:lineRule="auto"/>
              <w:ind w:left="0" w:right="42" w:firstLine="0"/>
              <w:jc w:val="center"/>
            </w:pPr>
            <w:r>
              <w:t xml:space="preserve">51 </w:t>
            </w:r>
          </w:p>
        </w:tc>
        <w:tc>
          <w:tcPr>
            <w:tcW w:w="1134" w:type="dxa"/>
            <w:tcBorders>
              <w:top w:val="single" w:sz="4" w:space="0" w:color="000000"/>
              <w:left w:val="single" w:sz="4" w:space="0" w:color="000000"/>
              <w:bottom w:val="single" w:sz="4" w:space="0" w:color="000000"/>
              <w:right w:val="single" w:sz="4" w:space="0" w:color="000000"/>
            </w:tcBorders>
          </w:tcPr>
          <w:p w14:paraId="6D08BC45" w14:textId="77777777" w:rsidR="005B1006" w:rsidRDefault="005B1006" w:rsidP="00A250AE">
            <w:pPr>
              <w:spacing w:after="0" w:line="259" w:lineRule="auto"/>
              <w:ind w:left="0" w:right="40" w:firstLine="0"/>
              <w:jc w:val="center"/>
            </w:pPr>
            <w:r>
              <w:t xml:space="preserve">1,10 </w:t>
            </w:r>
          </w:p>
        </w:tc>
        <w:tc>
          <w:tcPr>
            <w:tcW w:w="1755" w:type="dxa"/>
            <w:tcBorders>
              <w:top w:val="single" w:sz="4" w:space="0" w:color="000000"/>
              <w:left w:val="single" w:sz="4" w:space="0" w:color="000000"/>
              <w:bottom w:val="single" w:sz="4" w:space="0" w:color="000000"/>
              <w:right w:val="single" w:sz="4" w:space="0" w:color="000000"/>
            </w:tcBorders>
          </w:tcPr>
          <w:p w14:paraId="032B83BA" w14:textId="77777777" w:rsidR="005B1006" w:rsidRDefault="005B1006" w:rsidP="00A250AE">
            <w:pPr>
              <w:spacing w:after="0" w:line="259" w:lineRule="auto"/>
              <w:ind w:left="86" w:firstLine="0"/>
            </w:pPr>
            <w:r>
              <w:t xml:space="preserve">0,38 (0,22; 0,64) </w:t>
            </w:r>
          </w:p>
        </w:tc>
      </w:tr>
      <w:tr w:rsidR="005B1006" w14:paraId="3AD008A2"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5A564AD3" w14:textId="77777777" w:rsidR="005B1006" w:rsidRDefault="005B1006" w:rsidP="00A250AE">
            <w:pPr>
              <w:spacing w:after="0" w:line="259" w:lineRule="auto"/>
              <w:ind w:left="0" w:firstLine="0"/>
            </w:pPr>
            <w:r>
              <w:t xml:space="preserve">&gt; 70 līdz ≤ 90 </w:t>
            </w:r>
          </w:p>
        </w:tc>
        <w:tc>
          <w:tcPr>
            <w:tcW w:w="742" w:type="dxa"/>
            <w:tcBorders>
              <w:top w:val="single" w:sz="4" w:space="0" w:color="000000"/>
              <w:left w:val="single" w:sz="4" w:space="0" w:color="000000"/>
              <w:bottom w:val="single" w:sz="4" w:space="0" w:color="000000"/>
              <w:right w:val="single" w:sz="4" w:space="0" w:color="000000"/>
            </w:tcBorders>
          </w:tcPr>
          <w:p w14:paraId="3B81595E" w14:textId="77777777" w:rsidR="005B1006" w:rsidRDefault="005B1006" w:rsidP="00A250AE">
            <w:pPr>
              <w:spacing w:after="0" w:line="259" w:lineRule="auto"/>
              <w:ind w:left="95" w:firstLine="0"/>
            </w:pPr>
            <w:r>
              <w:t xml:space="preserve">1661 </w:t>
            </w:r>
          </w:p>
        </w:tc>
        <w:tc>
          <w:tcPr>
            <w:tcW w:w="1050" w:type="dxa"/>
            <w:tcBorders>
              <w:top w:val="single" w:sz="4" w:space="0" w:color="000000"/>
              <w:left w:val="single" w:sz="4" w:space="0" w:color="000000"/>
              <w:bottom w:val="single" w:sz="4" w:space="0" w:color="000000"/>
              <w:right w:val="single" w:sz="4" w:space="0" w:color="000000"/>
            </w:tcBorders>
          </w:tcPr>
          <w:p w14:paraId="6C4E4762" w14:textId="77777777" w:rsidR="005B1006" w:rsidRDefault="005B1006" w:rsidP="00A250AE">
            <w:pPr>
              <w:spacing w:after="0" w:line="259" w:lineRule="auto"/>
              <w:ind w:left="0" w:right="40" w:firstLine="0"/>
              <w:jc w:val="center"/>
            </w:pPr>
            <w:r>
              <w:t xml:space="preserve">17 </w:t>
            </w:r>
          </w:p>
        </w:tc>
        <w:tc>
          <w:tcPr>
            <w:tcW w:w="1133" w:type="dxa"/>
            <w:tcBorders>
              <w:top w:val="single" w:sz="4" w:space="0" w:color="000000"/>
              <w:left w:val="single" w:sz="4" w:space="0" w:color="000000"/>
              <w:bottom w:val="single" w:sz="4" w:space="0" w:color="000000"/>
              <w:right w:val="single" w:sz="4" w:space="0" w:color="000000"/>
            </w:tcBorders>
          </w:tcPr>
          <w:p w14:paraId="12156B72" w14:textId="77777777" w:rsidR="005B1006" w:rsidRDefault="005B1006" w:rsidP="00A250AE">
            <w:pPr>
              <w:spacing w:after="0" w:line="259" w:lineRule="auto"/>
              <w:ind w:left="0" w:right="41" w:firstLine="0"/>
              <w:jc w:val="center"/>
            </w:pPr>
            <w:r>
              <w:t xml:space="preserve">0,44 </w:t>
            </w:r>
          </w:p>
        </w:tc>
        <w:tc>
          <w:tcPr>
            <w:tcW w:w="730" w:type="dxa"/>
            <w:tcBorders>
              <w:top w:val="single" w:sz="4" w:space="0" w:color="000000"/>
              <w:left w:val="single" w:sz="4" w:space="0" w:color="000000"/>
              <w:bottom w:val="single" w:sz="4" w:space="0" w:color="000000"/>
              <w:right w:val="single" w:sz="4" w:space="0" w:color="000000"/>
            </w:tcBorders>
          </w:tcPr>
          <w:p w14:paraId="5AC7BD2B" w14:textId="77777777" w:rsidR="005B1006" w:rsidRDefault="005B1006" w:rsidP="00A250AE">
            <w:pPr>
              <w:spacing w:after="0" w:line="259" w:lineRule="auto"/>
              <w:ind w:left="89" w:firstLine="0"/>
            </w:pPr>
            <w:r>
              <w:t xml:space="preserve">1703 </w:t>
            </w:r>
          </w:p>
        </w:tc>
        <w:tc>
          <w:tcPr>
            <w:tcW w:w="1112" w:type="dxa"/>
            <w:tcBorders>
              <w:top w:val="single" w:sz="4" w:space="0" w:color="000000"/>
              <w:left w:val="single" w:sz="4" w:space="0" w:color="000000"/>
              <w:bottom w:val="single" w:sz="4" w:space="0" w:color="000000"/>
              <w:right w:val="single" w:sz="4" w:space="0" w:color="000000"/>
            </w:tcBorders>
          </w:tcPr>
          <w:p w14:paraId="3BB102C6" w14:textId="77777777" w:rsidR="005B1006" w:rsidRDefault="005B1006" w:rsidP="00A250AE">
            <w:pPr>
              <w:spacing w:after="0" w:line="259" w:lineRule="auto"/>
              <w:ind w:left="0" w:right="42" w:firstLine="0"/>
              <w:jc w:val="center"/>
            </w:pPr>
            <w:r>
              <w:t xml:space="preserve">35 </w:t>
            </w:r>
          </w:p>
        </w:tc>
        <w:tc>
          <w:tcPr>
            <w:tcW w:w="1134" w:type="dxa"/>
            <w:tcBorders>
              <w:top w:val="single" w:sz="4" w:space="0" w:color="000000"/>
              <w:left w:val="single" w:sz="4" w:space="0" w:color="000000"/>
              <w:bottom w:val="single" w:sz="4" w:space="0" w:color="000000"/>
              <w:right w:val="single" w:sz="4" w:space="0" w:color="000000"/>
            </w:tcBorders>
          </w:tcPr>
          <w:p w14:paraId="10C42BD7" w14:textId="77777777" w:rsidR="005B1006" w:rsidRDefault="005B1006" w:rsidP="00A250AE">
            <w:pPr>
              <w:spacing w:after="0" w:line="259" w:lineRule="auto"/>
              <w:ind w:left="0" w:right="40" w:firstLine="0"/>
              <w:jc w:val="center"/>
            </w:pPr>
            <w:r>
              <w:t xml:space="preserve">0,89 </w:t>
            </w:r>
          </w:p>
        </w:tc>
        <w:tc>
          <w:tcPr>
            <w:tcW w:w="1755" w:type="dxa"/>
            <w:tcBorders>
              <w:top w:val="single" w:sz="4" w:space="0" w:color="000000"/>
              <w:left w:val="single" w:sz="4" w:space="0" w:color="000000"/>
              <w:bottom w:val="single" w:sz="4" w:space="0" w:color="000000"/>
              <w:right w:val="single" w:sz="4" w:space="0" w:color="000000"/>
            </w:tcBorders>
          </w:tcPr>
          <w:p w14:paraId="50D29CA3" w14:textId="77777777" w:rsidR="005B1006" w:rsidRDefault="005B1006" w:rsidP="00A250AE">
            <w:pPr>
              <w:spacing w:after="0" w:line="259" w:lineRule="auto"/>
              <w:ind w:left="86" w:firstLine="0"/>
            </w:pPr>
            <w:r>
              <w:t xml:space="preserve">0,50 (0,28; 0,89) </w:t>
            </w:r>
          </w:p>
        </w:tc>
      </w:tr>
      <w:tr w:rsidR="005B1006" w14:paraId="15F0FBD7" w14:textId="77777777" w:rsidTr="00A250AE">
        <w:trPr>
          <w:trHeight w:val="302"/>
        </w:trPr>
        <w:tc>
          <w:tcPr>
            <w:tcW w:w="1469" w:type="dxa"/>
            <w:tcBorders>
              <w:top w:val="single" w:sz="4" w:space="0" w:color="000000"/>
              <w:left w:val="single" w:sz="4" w:space="0" w:color="000000"/>
              <w:bottom w:val="single" w:sz="4" w:space="0" w:color="000000"/>
              <w:right w:val="single" w:sz="4" w:space="0" w:color="000000"/>
            </w:tcBorders>
          </w:tcPr>
          <w:p w14:paraId="59E80C83" w14:textId="77777777" w:rsidR="005B1006" w:rsidRDefault="005B1006" w:rsidP="00A250AE">
            <w:pPr>
              <w:spacing w:after="0" w:line="259" w:lineRule="auto"/>
              <w:ind w:left="0" w:firstLine="0"/>
              <w:jc w:val="both"/>
            </w:pPr>
            <w:r>
              <w:t xml:space="preserve">&gt; 90 līdz ≤ 110 </w:t>
            </w:r>
          </w:p>
        </w:tc>
        <w:tc>
          <w:tcPr>
            <w:tcW w:w="742" w:type="dxa"/>
            <w:tcBorders>
              <w:top w:val="single" w:sz="4" w:space="0" w:color="000000"/>
              <w:left w:val="single" w:sz="4" w:space="0" w:color="000000"/>
              <w:bottom w:val="single" w:sz="4" w:space="0" w:color="000000"/>
              <w:right w:val="single" w:sz="4" w:space="0" w:color="000000"/>
            </w:tcBorders>
          </w:tcPr>
          <w:p w14:paraId="3634D961" w14:textId="77777777" w:rsidR="005B1006" w:rsidRDefault="005B1006" w:rsidP="00A250AE">
            <w:pPr>
              <w:spacing w:after="0" w:line="259" w:lineRule="auto"/>
              <w:ind w:left="0" w:right="41" w:firstLine="0"/>
              <w:jc w:val="center"/>
            </w:pPr>
            <w:r>
              <w:t xml:space="preserve">927 </w:t>
            </w:r>
          </w:p>
        </w:tc>
        <w:tc>
          <w:tcPr>
            <w:tcW w:w="1050" w:type="dxa"/>
            <w:tcBorders>
              <w:top w:val="single" w:sz="4" w:space="0" w:color="000000"/>
              <w:left w:val="single" w:sz="4" w:space="0" w:color="000000"/>
              <w:bottom w:val="single" w:sz="4" w:space="0" w:color="000000"/>
              <w:right w:val="single" w:sz="4" w:space="0" w:color="000000"/>
            </w:tcBorders>
          </w:tcPr>
          <w:p w14:paraId="24842546" w14:textId="77777777" w:rsidR="005B1006" w:rsidRDefault="005B1006" w:rsidP="00A250AE">
            <w:pPr>
              <w:spacing w:after="0" w:line="259" w:lineRule="auto"/>
              <w:ind w:left="0" w:right="40" w:firstLine="0"/>
              <w:jc w:val="center"/>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14:paraId="7C96A965" w14:textId="77777777" w:rsidR="005B1006" w:rsidRDefault="005B1006" w:rsidP="00A250AE">
            <w:pPr>
              <w:spacing w:after="0" w:line="259" w:lineRule="auto"/>
              <w:ind w:left="0" w:right="41" w:firstLine="0"/>
              <w:jc w:val="center"/>
            </w:pPr>
            <w:r>
              <w:t xml:space="preserve">0,23 </w:t>
            </w:r>
          </w:p>
        </w:tc>
        <w:tc>
          <w:tcPr>
            <w:tcW w:w="730" w:type="dxa"/>
            <w:tcBorders>
              <w:top w:val="single" w:sz="4" w:space="0" w:color="000000"/>
              <w:left w:val="single" w:sz="4" w:space="0" w:color="000000"/>
              <w:bottom w:val="single" w:sz="4" w:space="0" w:color="000000"/>
              <w:right w:val="single" w:sz="4" w:space="0" w:color="000000"/>
            </w:tcBorders>
          </w:tcPr>
          <w:p w14:paraId="3AED8605" w14:textId="77777777" w:rsidR="005B1006" w:rsidRDefault="005B1006" w:rsidP="00A250AE">
            <w:pPr>
              <w:spacing w:after="0" w:line="259" w:lineRule="auto"/>
              <w:ind w:left="0" w:right="41" w:firstLine="0"/>
              <w:jc w:val="center"/>
            </w:pPr>
            <w:r>
              <w:t xml:space="preserve">960 </w:t>
            </w:r>
          </w:p>
        </w:tc>
        <w:tc>
          <w:tcPr>
            <w:tcW w:w="1112" w:type="dxa"/>
            <w:tcBorders>
              <w:top w:val="single" w:sz="4" w:space="0" w:color="000000"/>
              <w:left w:val="single" w:sz="4" w:space="0" w:color="000000"/>
              <w:bottom w:val="single" w:sz="4" w:space="0" w:color="000000"/>
              <w:right w:val="single" w:sz="4" w:space="0" w:color="000000"/>
            </w:tcBorders>
          </w:tcPr>
          <w:p w14:paraId="453B513F" w14:textId="77777777" w:rsidR="005B1006" w:rsidRDefault="005B1006" w:rsidP="00A250AE">
            <w:pPr>
              <w:spacing w:after="0" w:line="259" w:lineRule="auto"/>
              <w:ind w:left="0" w:right="42" w:firstLine="0"/>
              <w:jc w:val="center"/>
            </w:pPr>
            <w:r>
              <w:t xml:space="preserve">6 </w:t>
            </w:r>
          </w:p>
        </w:tc>
        <w:tc>
          <w:tcPr>
            <w:tcW w:w="1134" w:type="dxa"/>
            <w:tcBorders>
              <w:top w:val="single" w:sz="4" w:space="0" w:color="000000"/>
              <w:left w:val="single" w:sz="4" w:space="0" w:color="000000"/>
              <w:bottom w:val="single" w:sz="4" w:space="0" w:color="000000"/>
              <w:right w:val="single" w:sz="4" w:space="0" w:color="000000"/>
            </w:tcBorders>
          </w:tcPr>
          <w:p w14:paraId="0FA8B927" w14:textId="77777777" w:rsidR="005B1006" w:rsidRDefault="005B1006" w:rsidP="00A250AE">
            <w:pPr>
              <w:spacing w:after="0" w:line="259" w:lineRule="auto"/>
              <w:ind w:left="0" w:right="40" w:firstLine="0"/>
              <w:jc w:val="center"/>
            </w:pPr>
            <w:r>
              <w:t xml:space="preserve">0,26 </w:t>
            </w:r>
          </w:p>
        </w:tc>
        <w:tc>
          <w:tcPr>
            <w:tcW w:w="1755" w:type="dxa"/>
            <w:tcBorders>
              <w:top w:val="single" w:sz="4" w:space="0" w:color="000000"/>
              <w:left w:val="single" w:sz="4" w:space="0" w:color="000000"/>
              <w:bottom w:val="single" w:sz="4" w:space="0" w:color="000000"/>
              <w:right w:val="single" w:sz="4" w:space="0" w:color="000000"/>
            </w:tcBorders>
          </w:tcPr>
          <w:p w14:paraId="56D3C9C9" w14:textId="77777777" w:rsidR="005B1006" w:rsidRDefault="005B1006" w:rsidP="00A250AE">
            <w:pPr>
              <w:spacing w:after="0" w:line="259" w:lineRule="auto"/>
              <w:ind w:left="86" w:firstLine="0"/>
            </w:pPr>
            <w:r>
              <w:t xml:space="preserve">0,87 (0,27; 2,86) </w:t>
            </w:r>
          </w:p>
        </w:tc>
      </w:tr>
      <w:tr w:rsidR="005B1006" w14:paraId="00417B51" w14:textId="77777777" w:rsidTr="00A250AE">
        <w:trPr>
          <w:trHeight w:val="556"/>
        </w:trPr>
        <w:tc>
          <w:tcPr>
            <w:tcW w:w="1469" w:type="dxa"/>
            <w:tcBorders>
              <w:top w:val="single" w:sz="4" w:space="0" w:color="000000"/>
              <w:left w:val="single" w:sz="4" w:space="0" w:color="000000"/>
              <w:bottom w:val="single" w:sz="4" w:space="0" w:color="000000"/>
              <w:right w:val="single" w:sz="4" w:space="0" w:color="000000"/>
            </w:tcBorders>
          </w:tcPr>
          <w:p w14:paraId="58FA1616" w14:textId="77777777" w:rsidR="005B1006" w:rsidRDefault="005B1006" w:rsidP="00A250AE">
            <w:pPr>
              <w:spacing w:after="9" w:line="259" w:lineRule="auto"/>
              <w:ind w:left="0" w:firstLine="0"/>
            </w:pPr>
            <w:r>
              <w:t xml:space="preserve">&gt; 110 līdz </w:t>
            </w:r>
          </w:p>
          <w:p w14:paraId="0D2E1F90" w14:textId="77777777" w:rsidR="005B1006" w:rsidRDefault="005B1006" w:rsidP="00A250AE">
            <w:pPr>
              <w:spacing w:after="0" w:line="259" w:lineRule="auto"/>
              <w:ind w:left="0" w:firstLine="0"/>
            </w:pPr>
            <w:r>
              <w:t xml:space="preserve">≤ 130 </w:t>
            </w:r>
          </w:p>
        </w:tc>
        <w:tc>
          <w:tcPr>
            <w:tcW w:w="742" w:type="dxa"/>
            <w:tcBorders>
              <w:top w:val="single" w:sz="4" w:space="0" w:color="000000"/>
              <w:left w:val="single" w:sz="4" w:space="0" w:color="000000"/>
              <w:bottom w:val="single" w:sz="4" w:space="0" w:color="000000"/>
              <w:right w:val="single" w:sz="4" w:space="0" w:color="000000"/>
            </w:tcBorders>
          </w:tcPr>
          <w:p w14:paraId="3D7D9B6C" w14:textId="77777777" w:rsidR="005B1006" w:rsidRDefault="005B1006" w:rsidP="00A250AE">
            <w:pPr>
              <w:spacing w:after="0" w:line="259" w:lineRule="auto"/>
              <w:ind w:left="0" w:right="41" w:firstLine="0"/>
              <w:jc w:val="center"/>
            </w:pPr>
            <w:r>
              <w:t xml:space="preserve">497 </w:t>
            </w:r>
          </w:p>
        </w:tc>
        <w:tc>
          <w:tcPr>
            <w:tcW w:w="1050" w:type="dxa"/>
            <w:tcBorders>
              <w:top w:val="single" w:sz="4" w:space="0" w:color="000000"/>
              <w:left w:val="single" w:sz="4" w:space="0" w:color="000000"/>
              <w:bottom w:val="single" w:sz="4" w:space="0" w:color="000000"/>
              <w:right w:val="single" w:sz="4" w:space="0" w:color="000000"/>
            </w:tcBorders>
          </w:tcPr>
          <w:p w14:paraId="16C05C59" w14:textId="77777777" w:rsidR="005B1006" w:rsidRDefault="005B1006" w:rsidP="00A250AE">
            <w:pPr>
              <w:spacing w:after="0" w:line="259" w:lineRule="auto"/>
              <w:ind w:left="0" w:right="40" w:firstLine="0"/>
              <w:jc w:val="center"/>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6CA37B33" w14:textId="77777777" w:rsidR="005B1006" w:rsidRDefault="005B1006" w:rsidP="00A250AE">
            <w:pPr>
              <w:spacing w:after="0" w:line="259" w:lineRule="auto"/>
              <w:ind w:left="0" w:right="41" w:firstLine="0"/>
              <w:jc w:val="center"/>
            </w:pPr>
            <w:r>
              <w:t xml:space="preserve">0,17 </w:t>
            </w:r>
          </w:p>
        </w:tc>
        <w:tc>
          <w:tcPr>
            <w:tcW w:w="730" w:type="dxa"/>
            <w:tcBorders>
              <w:top w:val="single" w:sz="4" w:space="0" w:color="000000"/>
              <w:left w:val="single" w:sz="4" w:space="0" w:color="000000"/>
              <w:bottom w:val="single" w:sz="4" w:space="0" w:color="000000"/>
              <w:right w:val="single" w:sz="4" w:space="0" w:color="000000"/>
            </w:tcBorders>
          </w:tcPr>
          <w:p w14:paraId="56BA4E8F" w14:textId="77777777" w:rsidR="005B1006" w:rsidRDefault="005B1006" w:rsidP="00A250AE">
            <w:pPr>
              <w:spacing w:after="0" w:line="259" w:lineRule="auto"/>
              <w:ind w:left="0" w:right="41" w:firstLine="0"/>
              <w:jc w:val="center"/>
            </w:pPr>
            <w:r>
              <w:t xml:space="preserve">469 </w:t>
            </w:r>
          </w:p>
        </w:tc>
        <w:tc>
          <w:tcPr>
            <w:tcW w:w="1112" w:type="dxa"/>
            <w:tcBorders>
              <w:top w:val="single" w:sz="4" w:space="0" w:color="000000"/>
              <w:left w:val="single" w:sz="4" w:space="0" w:color="000000"/>
              <w:bottom w:val="single" w:sz="4" w:space="0" w:color="000000"/>
              <w:right w:val="single" w:sz="4" w:space="0" w:color="000000"/>
            </w:tcBorders>
          </w:tcPr>
          <w:p w14:paraId="4464A7AE" w14:textId="77777777" w:rsidR="005B1006" w:rsidRDefault="005B1006" w:rsidP="00A250AE">
            <w:pPr>
              <w:spacing w:after="0" w:line="259" w:lineRule="auto"/>
              <w:ind w:left="0" w:right="42" w:firstLine="0"/>
              <w:jc w:val="center"/>
            </w:pPr>
            <w:r>
              <w:t xml:space="preserve">3 </w:t>
            </w:r>
          </w:p>
        </w:tc>
        <w:tc>
          <w:tcPr>
            <w:tcW w:w="1134" w:type="dxa"/>
            <w:tcBorders>
              <w:top w:val="single" w:sz="4" w:space="0" w:color="000000"/>
              <w:left w:val="single" w:sz="4" w:space="0" w:color="000000"/>
              <w:bottom w:val="single" w:sz="4" w:space="0" w:color="000000"/>
              <w:right w:val="single" w:sz="4" w:space="0" w:color="000000"/>
            </w:tcBorders>
          </w:tcPr>
          <w:p w14:paraId="64818EFB" w14:textId="77777777" w:rsidR="005B1006" w:rsidRDefault="005B1006" w:rsidP="00A250AE">
            <w:pPr>
              <w:spacing w:after="0" w:line="259" w:lineRule="auto"/>
              <w:ind w:left="0" w:right="40" w:firstLine="0"/>
              <w:jc w:val="center"/>
            </w:pPr>
            <w:r>
              <w:t xml:space="preserve">0,26 </w:t>
            </w:r>
          </w:p>
        </w:tc>
        <w:tc>
          <w:tcPr>
            <w:tcW w:w="1755" w:type="dxa"/>
            <w:tcBorders>
              <w:top w:val="single" w:sz="4" w:space="0" w:color="000000"/>
              <w:left w:val="single" w:sz="4" w:space="0" w:color="000000"/>
              <w:bottom w:val="single" w:sz="4" w:space="0" w:color="000000"/>
              <w:right w:val="single" w:sz="4" w:space="0" w:color="000000"/>
            </w:tcBorders>
          </w:tcPr>
          <w:p w14:paraId="59572C0B" w14:textId="77777777" w:rsidR="005B1006" w:rsidRDefault="005B1006" w:rsidP="00A250AE">
            <w:pPr>
              <w:spacing w:after="0" w:line="259" w:lineRule="auto"/>
              <w:ind w:left="0" w:right="41" w:firstLine="0"/>
              <w:jc w:val="center"/>
            </w:pPr>
            <w:r>
              <w:t>--</w:t>
            </w:r>
            <w:r>
              <w:rPr>
                <w:vertAlign w:val="superscript"/>
              </w:rPr>
              <w:t>*</w:t>
            </w:r>
            <w:r>
              <w:t xml:space="preserve"> </w:t>
            </w:r>
          </w:p>
        </w:tc>
      </w:tr>
      <w:tr w:rsidR="005B1006" w14:paraId="0B5B8DC0" w14:textId="77777777" w:rsidTr="00A250AE">
        <w:trPr>
          <w:trHeight w:val="304"/>
        </w:trPr>
        <w:tc>
          <w:tcPr>
            <w:tcW w:w="1469" w:type="dxa"/>
            <w:tcBorders>
              <w:top w:val="single" w:sz="4" w:space="0" w:color="000000"/>
              <w:left w:val="single" w:sz="4" w:space="0" w:color="000000"/>
              <w:bottom w:val="single" w:sz="4" w:space="0" w:color="000000"/>
              <w:right w:val="single" w:sz="4" w:space="0" w:color="000000"/>
            </w:tcBorders>
          </w:tcPr>
          <w:p w14:paraId="6B247351" w14:textId="77777777" w:rsidR="005B1006" w:rsidRDefault="005B1006" w:rsidP="00A250AE">
            <w:pPr>
              <w:spacing w:after="0" w:line="259" w:lineRule="auto"/>
              <w:ind w:left="0" w:firstLine="0"/>
            </w:pPr>
            <w:r>
              <w:t xml:space="preserve">&gt; 130 </w:t>
            </w:r>
          </w:p>
        </w:tc>
        <w:tc>
          <w:tcPr>
            <w:tcW w:w="742" w:type="dxa"/>
            <w:tcBorders>
              <w:top w:val="single" w:sz="4" w:space="0" w:color="000000"/>
              <w:left w:val="single" w:sz="4" w:space="0" w:color="000000"/>
              <w:bottom w:val="single" w:sz="4" w:space="0" w:color="000000"/>
              <w:right w:val="single" w:sz="4" w:space="0" w:color="000000"/>
            </w:tcBorders>
          </w:tcPr>
          <w:p w14:paraId="7068E0A9" w14:textId="77777777" w:rsidR="005B1006" w:rsidRDefault="005B1006" w:rsidP="00A250AE">
            <w:pPr>
              <w:spacing w:after="0" w:line="259" w:lineRule="auto"/>
              <w:ind w:left="0" w:right="41" w:firstLine="0"/>
              <w:jc w:val="center"/>
            </w:pPr>
            <w:r>
              <w:t xml:space="preserve">462 </w:t>
            </w:r>
          </w:p>
        </w:tc>
        <w:tc>
          <w:tcPr>
            <w:tcW w:w="1050" w:type="dxa"/>
            <w:tcBorders>
              <w:top w:val="single" w:sz="4" w:space="0" w:color="000000"/>
              <w:left w:val="single" w:sz="4" w:space="0" w:color="000000"/>
              <w:bottom w:val="single" w:sz="4" w:space="0" w:color="000000"/>
              <w:right w:val="single" w:sz="4" w:space="0" w:color="000000"/>
            </w:tcBorders>
          </w:tcPr>
          <w:p w14:paraId="027FB3C0" w14:textId="77777777" w:rsidR="005B1006" w:rsidRDefault="005B1006" w:rsidP="00A250AE">
            <w:pPr>
              <w:spacing w:after="0" w:line="259" w:lineRule="auto"/>
              <w:ind w:left="0" w:right="40" w:firstLine="0"/>
              <w:jc w:val="center"/>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781F8611" w14:textId="77777777" w:rsidR="005B1006" w:rsidRDefault="005B1006" w:rsidP="00A250AE">
            <w:pPr>
              <w:spacing w:after="0" w:line="259" w:lineRule="auto"/>
              <w:ind w:left="0" w:right="41" w:firstLine="0"/>
              <w:jc w:val="center"/>
            </w:pPr>
            <w:r>
              <w:t xml:space="preserve">0,09 </w:t>
            </w:r>
          </w:p>
        </w:tc>
        <w:tc>
          <w:tcPr>
            <w:tcW w:w="730" w:type="dxa"/>
            <w:tcBorders>
              <w:top w:val="single" w:sz="4" w:space="0" w:color="000000"/>
              <w:left w:val="single" w:sz="4" w:space="0" w:color="000000"/>
              <w:bottom w:val="single" w:sz="4" w:space="0" w:color="000000"/>
              <w:right w:val="single" w:sz="4" w:space="0" w:color="000000"/>
            </w:tcBorders>
          </w:tcPr>
          <w:p w14:paraId="6C6738A8" w14:textId="77777777" w:rsidR="005B1006" w:rsidRDefault="005B1006" w:rsidP="00A250AE">
            <w:pPr>
              <w:spacing w:after="0" w:line="259" w:lineRule="auto"/>
              <w:ind w:left="0" w:right="41" w:firstLine="0"/>
              <w:jc w:val="center"/>
            </w:pPr>
            <w:r>
              <w:t xml:space="preserve">418 </w:t>
            </w:r>
          </w:p>
        </w:tc>
        <w:tc>
          <w:tcPr>
            <w:tcW w:w="1112" w:type="dxa"/>
            <w:tcBorders>
              <w:top w:val="single" w:sz="4" w:space="0" w:color="000000"/>
              <w:left w:val="single" w:sz="4" w:space="0" w:color="000000"/>
              <w:bottom w:val="single" w:sz="4" w:space="0" w:color="000000"/>
              <w:right w:val="single" w:sz="4" w:space="0" w:color="000000"/>
            </w:tcBorders>
          </w:tcPr>
          <w:p w14:paraId="4EF566F6" w14:textId="77777777" w:rsidR="005B1006" w:rsidRDefault="005B1006" w:rsidP="00A250AE">
            <w:pPr>
              <w:spacing w:after="0" w:line="259" w:lineRule="auto"/>
              <w:ind w:left="0" w:right="42" w:firstLine="0"/>
              <w:jc w:val="center"/>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377BD4CB" w14:textId="77777777" w:rsidR="005B1006" w:rsidRDefault="005B1006" w:rsidP="00A250AE">
            <w:pPr>
              <w:spacing w:after="0" w:line="259" w:lineRule="auto"/>
              <w:ind w:left="0" w:right="40" w:firstLine="0"/>
              <w:jc w:val="center"/>
            </w:pPr>
            <w:r>
              <w:t xml:space="preserve">0,10 </w:t>
            </w:r>
          </w:p>
        </w:tc>
        <w:tc>
          <w:tcPr>
            <w:tcW w:w="1755" w:type="dxa"/>
            <w:tcBorders>
              <w:top w:val="single" w:sz="4" w:space="0" w:color="000000"/>
              <w:left w:val="single" w:sz="4" w:space="0" w:color="000000"/>
              <w:bottom w:val="single" w:sz="4" w:space="0" w:color="000000"/>
              <w:right w:val="single" w:sz="4" w:space="0" w:color="000000"/>
            </w:tcBorders>
          </w:tcPr>
          <w:p w14:paraId="249F3907" w14:textId="77777777" w:rsidR="005B1006" w:rsidRDefault="005B1006" w:rsidP="00A250AE">
            <w:pPr>
              <w:spacing w:after="0" w:line="259" w:lineRule="auto"/>
              <w:ind w:left="0" w:right="41" w:firstLine="0"/>
              <w:jc w:val="center"/>
            </w:pPr>
            <w:r>
              <w:t>--</w:t>
            </w:r>
            <w:r>
              <w:rPr>
                <w:vertAlign w:val="superscript"/>
              </w:rPr>
              <w:t>*</w:t>
            </w:r>
            <w:r>
              <w:t xml:space="preserve"> </w:t>
            </w:r>
          </w:p>
        </w:tc>
      </w:tr>
    </w:tbl>
    <w:p w14:paraId="5259A7CF" w14:textId="77777777" w:rsidR="005B1006" w:rsidRDefault="005B1006" w:rsidP="005B1006">
      <w:pPr>
        <w:spacing w:after="42"/>
        <w:ind w:left="145" w:right="8"/>
      </w:pPr>
      <w:r>
        <w:t xml:space="preserve">Saīsinājumi: N = pacientu skaits mITT populācijā visā pētījuma ilgumā; mITT = modificētais nolūks ārstēt, n = pacientu skaits apakšgrupā, RK = riska koeficients, salīdzinot ar varfarīnu, TI = ticamības intervāls. </w:t>
      </w:r>
    </w:p>
    <w:p w14:paraId="54879EB8" w14:textId="77777777" w:rsidR="005B1006" w:rsidRDefault="005B1006" w:rsidP="005B1006">
      <w:pPr>
        <w:spacing w:after="40"/>
        <w:ind w:left="145" w:right="1042"/>
      </w:pPr>
      <w:r>
        <w:t xml:space="preserve">* RK nav aprēķināts, ja notikumu skaits ir &lt; 5 vienā terapijas grupā. </w:t>
      </w:r>
      <w:r>
        <w:rPr>
          <w:vertAlign w:val="superscript"/>
        </w:rPr>
        <w:t>a</w:t>
      </w:r>
      <w:r>
        <w:t xml:space="preserve"> Ārstēšanās laiks: laiks no pētījuma zāļu pirmās devas līdz pēdējai devai plus 3 dienas. </w:t>
      </w:r>
    </w:p>
    <w:p w14:paraId="71E0CF9C" w14:textId="77777777" w:rsidR="005B1006" w:rsidRDefault="005B1006" w:rsidP="005B1006">
      <w:pPr>
        <w:spacing w:after="0" w:line="259" w:lineRule="auto"/>
        <w:ind w:firstLine="0"/>
      </w:pPr>
      <w:r>
        <w:t xml:space="preserve"> </w:t>
      </w:r>
    </w:p>
    <w:p w14:paraId="58897A8C" w14:textId="77777777" w:rsidR="005B1006" w:rsidRDefault="005B1006" w:rsidP="005B1006">
      <w:pPr>
        <w:spacing w:line="321" w:lineRule="auto"/>
        <w:ind w:left="-10" w:right="8"/>
      </w:pPr>
      <w:r>
        <w:t xml:space="preserve">Atbilstīgi apakšgrupu analīžu rezultātiem pētījumā „ENGAGE AF-TIMI 48” pacientiem 60 mg terapijas grupā, kam ķermeņa masas ≤60 kg, vidēji smagu nieru darbības traucējumu vai vienlaikus lietotu P-gp inhibitoru dēļ deva bija samazināta līdz 30 mg, 104 (3,05% gadā) pacientiem, kas lietoja edoksabāna samazināto devu 30 mg, un 166 (4,85% gadā) pacientiem, kas lietoja varfarīna samazināto devu, novēroja būtiskas asiņošanas notikumu [RK (95% TI): 0,63 (0,50, 0,81)]. </w:t>
      </w:r>
    </w:p>
    <w:p w14:paraId="2D2F35D6" w14:textId="77777777" w:rsidR="005B1006" w:rsidRDefault="005B1006" w:rsidP="005B1006">
      <w:pPr>
        <w:spacing w:after="46" w:line="259" w:lineRule="auto"/>
        <w:ind w:firstLine="0"/>
      </w:pPr>
      <w:r>
        <w:t xml:space="preserve"> </w:t>
      </w:r>
    </w:p>
    <w:p w14:paraId="07311894" w14:textId="77777777" w:rsidR="005B1006" w:rsidRDefault="005B1006" w:rsidP="005B1006">
      <w:pPr>
        <w:ind w:left="-10" w:right="8"/>
      </w:pPr>
      <w:r>
        <w:t>Pētījumā „ENGAGE AF-TIMI 48”, edoksabāna 60 mg terapijas grupu salīdzinot ar varfarīna grupu, edoksabāna grupā novēroja nozīmīgu tīrā klīniskā iznākuma (pirmais insults, SEN, būtiska asiņošana vai jebkādas etioloģijas mirstība; mITT populācija, pētījumu periods kopumā) uzlabojumu, RK (95% TI): 0,89 (0,83, 0,96); p = 0,0024.</w:t>
      </w:r>
      <w:r>
        <w:rPr>
          <w:sz w:val="20"/>
        </w:rPr>
        <w:t xml:space="preserve"> </w:t>
      </w:r>
    </w:p>
    <w:p w14:paraId="0188A456" w14:textId="77777777" w:rsidR="005B1006" w:rsidRDefault="005B1006" w:rsidP="005B1006">
      <w:pPr>
        <w:spacing w:after="51" w:line="259" w:lineRule="auto"/>
        <w:ind w:firstLine="0"/>
      </w:pPr>
      <w:r>
        <w:t xml:space="preserve"> </w:t>
      </w:r>
    </w:p>
    <w:p w14:paraId="72151E0D" w14:textId="77777777" w:rsidR="005B1006" w:rsidRDefault="005B1006" w:rsidP="005B1006">
      <w:pPr>
        <w:pStyle w:val="Heading3"/>
        <w:spacing w:after="0"/>
        <w:ind w:left="-1"/>
      </w:pPr>
      <w:r>
        <w:t xml:space="preserve">DVT ārstēšana. PE ārstēšana un recidivējošas DVT un PE (VTE) profilakse </w:t>
      </w:r>
    </w:p>
    <w:p w14:paraId="2F2EDC60" w14:textId="77777777" w:rsidR="005B1006" w:rsidRDefault="005B1006" w:rsidP="005B1006">
      <w:pPr>
        <w:spacing w:after="32"/>
        <w:ind w:left="-10" w:right="8"/>
      </w:pPr>
      <w:r>
        <w:t xml:space="preserve">Edoksabāna klīniskā programma venozajai trombembolijai (VTE) bija plānota tā, lai pierādītu edoksabāna efektivitāti un drošumu DVT un PE ārstēšanā un recidivējošas DVT un PE profilaksē. </w:t>
      </w:r>
    </w:p>
    <w:p w14:paraId="33C9136F" w14:textId="77777777" w:rsidR="005B1006" w:rsidRDefault="005B1006" w:rsidP="005B1006">
      <w:pPr>
        <w:spacing w:after="46" w:line="259" w:lineRule="auto"/>
        <w:ind w:firstLine="0"/>
      </w:pPr>
      <w:r>
        <w:t xml:space="preserve"> </w:t>
      </w:r>
    </w:p>
    <w:p w14:paraId="43FB6AE2" w14:textId="77777777" w:rsidR="005B1006" w:rsidRDefault="005B1006" w:rsidP="005B1006">
      <w:pPr>
        <w:spacing w:after="31"/>
        <w:ind w:left="-10" w:right="8"/>
      </w:pPr>
      <w:r>
        <w:t xml:space="preserve">Pivotālajā pētījumā „Hokusai-VTE” 8292 pacientus nejaušināti iedalīja grupās, kurās viņi saņēma sākotnējo heparīna terapiju (enoksaparīnu vai nefrakcionētu heparīnu) un pēc tam edoksabānu 60 mg vienreiz dienā vai salīdzinājuma zāles. Salīdzinājuma grupā pacienti sākotnējo heparīna terapiju saņēma vienlaikus ar varfarīnu, ko titrēja līdz mērķa </w:t>
      </w:r>
      <w:r>
        <w:rPr>
          <w:i/>
        </w:rPr>
        <w:t>INR</w:t>
      </w:r>
      <w:r>
        <w:t xml:space="preserve"> 2,0–3,0, un pēc tam tikai varfarīnu. Ārstēšana ilga no 3 mēnešiem līdz 12 mēnešiem – to noteica pētnieks, ņemot vērā pacienta klīniskās pazīmes. </w:t>
      </w:r>
    </w:p>
    <w:p w14:paraId="1F40269D" w14:textId="77777777" w:rsidR="005B1006" w:rsidRDefault="005B1006" w:rsidP="005B1006">
      <w:pPr>
        <w:spacing w:after="0" w:line="259" w:lineRule="auto"/>
        <w:ind w:firstLine="0"/>
      </w:pPr>
      <w:r>
        <w:t xml:space="preserve"> </w:t>
      </w:r>
    </w:p>
    <w:p w14:paraId="7B160596" w14:textId="77777777" w:rsidR="005B1006" w:rsidRDefault="005B1006" w:rsidP="005B1006">
      <w:pPr>
        <w:spacing w:after="31"/>
        <w:ind w:left="-10" w:right="8"/>
      </w:pPr>
      <w:r>
        <w:t xml:space="preserve">Vairākums pacientu, ko ārstēja ar edoksabānu, bija baltās rases pārstāvji (69,6%) un aziāti (21,0%); 3,8% bija melnās rases pārstāvji, un 5,3% tika iedalīti kategorijā „cita rase”. </w:t>
      </w:r>
    </w:p>
    <w:p w14:paraId="16E1404F" w14:textId="77777777" w:rsidR="005B1006" w:rsidRDefault="005B1006" w:rsidP="005B1006">
      <w:pPr>
        <w:spacing w:after="44" w:line="259" w:lineRule="auto"/>
        <w:ind w:left="3" w:firstLine="0"/>
      </w:pPr>
      <w:r>
        <w:t xml:space="preserve"> </w:t>
      </w:r>
    </w:p>
    <w:p w14:paraId="5A6CD111" w14:textId="77777777" w:rsidR="005B1006" w:rsidRDefault="005B1006" w:rsidP="005B1006">
      <w:pPr>
        <w:spacing w:line="322" w:lineRule="auto"/>
        <w:ind w:left="-10" w:right="8"/>
      </w:pPr>
      <w:r>
        <w:t xml:space="preserve">Ārstēšana ilga vismaz 3 mēnešus 3718 (91,6%) edoksabānu lietojošajiem pacientiem un 3727 (91,4%) varfarīnu lietojošajiem pacientiem; vismaz 6 mēnešus 3495 (86,1%) edoksabānu lietojošajiem pacientiem un 3491 (85,6%) varfarīnu lietojošajiem pacientiem; un 12 mēnešus 1643 (40,5%) edoksabānu lietojošajiem pacientiem un 1659 (40,4%) varfarīnu lietojošajiem pacientiem. </w:t>
      </w:r>
    </w:p>
    <w:p w14:paraId="1B9D6620" w14:textId="77777777" w:rsidR="005B1006" w:rsidRDefault="005B1006" w:rsidP="005B1006">
      <w:pPr>
        <w:spacing w:after="0" w:line="259" w:lineRule="auto"/>
        <w:ind w:left="3" w:firstLine="0"/>
      </w:pPr>
      <w:r>
        <w:t xml:space="preserve"> </w:t>
      </w:r>
    </w:p>
    <w:p w14:paraId="00639127" w14:textId="77777777" w:rsidR="005B1006" w:rsidRDefault="005B1006" w:rsidP="005B1006">
      <w:pPr>
        <w:ind w:left="-10" w:right="8"/>
      </w:pPr>
      <w:r>
        <w:t xml:space="preserve">Primārais efektivitātes mērķa kritērijs bija simptomātiskas VTE recidīvs, kas definēts kā recidivējošas simptomātiskas DVT, neletālas simptomātiskas PE un letālas PE saliktais kritērijs, pacientiem 12 mēnešu ilgajā pētījuma posmā. Sekundārie efektivitātes iznākumi aptvēra recidivējošas VTE un jebkādas etioloģijas mirstības salikto klīnisko iznākumu. </w:t>
      </w:r>
    </w:p>
    <w:p w14:paraId="06C42923" w14:textId="77777777" w:rsidR="005B1006" w:rsidRDefault="005B1006" w:rsidP="005B1006">
      <w:pPr>
        <w:spacing w:after="47" w:line="259" w:lineRule="auto"/>
        <w:ind w:left="3" w:firstLine="0"/>
      </w:pPr>
      <w:r>
        <w:t xml:space="preserve"> </w:t>
      </w:r>
    </w:p>
    <w:p w14:paraId="2E6ADE63" w14:textId="77777777" w:rsidR="005B1006" w:rsidRDefault="005B1006" w:rsidP="005B1006">
      <w:pPr>
        <w:spacing w:after="44"/>
        <w:ind w:left="-10" w:right="8"/>
      </w:pPr>
      <w:r>
        <w:t xml:space="preserve">Edoksabānu 30 mg vienreiz dienā lietoja pacienti, kam bija vismaz viens no šādiem klīniskajiem faktoriem: vidēji smagi nieru darbības traucējumi (CrCl 30–50 ml/min); ķermeņa masa ≤60 kg; vienlaikus lietoti konkrēti P-gp inhibitori. </w:t>
      </w:r>
    </w:p>
    <w:p w14:paraId="54E2466F" w14:textId="77777777" w:rsidR="005B1006" w:rsidRDefault="005B1006" w:rsidP="005B1006">
      <w:pPr>
        <w:spacing w:after="46" w:line="259" w:lineRule="auto"/>
        <w:ind w:left="2" w:firstLine="0"/>
      </w:pPr>
      <w:r>
        <w:t xml:space="preserve"> </w:t>
      </w:r>
    </w:p>
    <w:p w14:paraId="07B4F00D" w14:textId="77777777" w:rsidR="005B1006" w:rsidRDefault="005B1006" w:rsidP="005B1006">
      <w:pPr>
        <w:spacing w:after="46"/>
        <w:ind w:left="-10" w:right="8"/>
      </w:pPr>
      <w:r>
        <w:t>Pētījumā „Hokusai-VTE” (10. tabula) pierādīja, ka edoksabāns nav sliktāks par varfarīnu attiecībā uz primāro efektivitātes iznākumu – recidivējošu VTE, ko novēroja 130 no 4118 pacientiem (3,2%) edoksabāna grupā un 146 no 4122 pacientiem (3,5%) varfarīna grupā [RK (95% TI): 0,89 (0,70, 1,13); p &lt; 0,0001 līdzvērtīgumam]. Varfarīna grupā mediānais LTD (</w:t>
      </w:r>
      <w:r>
        <w:rPr>
          <w:i/>
        </w:rPr>
        <w:t>INR</w:t>
      </w:r>
      <w:r>
        <w:t xml:space="preserve"> 2,0–3,0) bija 65,6%. No pacientiem, kam radās PE (ar DVT vai bez tās), 47 (2,8%) edoksabānu lietojošajiem pacientiem un 65 (3,9%) varfarīnu lietojošajiem pacientiem bija recidivējoša VTE [RK (95% TI): 0,73 (0,50, </w:t>
      </w:r>
    </w:p>
    <w:p w14:paraId="4369C4BD" w14:textId="77777777" w:rsidR="005B1006" w:rsidRDefault="005B1006" w:rsidP="005B1006">
      <w:pPr>
        <w:ind w:left="-10" w:right="8"/>
      </w:pPr>
      <w:r>
        <w:t xml:space="preserve">1,06)]. </w:t>
      </w:r>
    </w:p>
    <w:p w14:paraId="4BAD7255" w14:textId="77777777" w:rsidR="005B1006" w:rsidRDefault="005B1006" w:rsidP="005B1006">
      <w:pPr>
        <w:spacing w:after="0" w:line="259" w:lineRule="auto"/>
        <w:ind w:left="2" w:firstLine="0"/>
      </w:pPr>
      <w:r>
        <w:t xml:space="preserve"> </w:t>
      </w:r>
    </w:p>
    <w:p w14:paraId="58080164" w14:textId="77777777" w:rsidR="005B1006" w:rsidRDefault="005B1006" w:rsidP="005B1006">
      <w:pPr>
        <w:pStyle w:val="Heading4"/>
        <w:ind w:left="982" w:right="0" w:hanging="992"/>
      </w:pPr>
      <w:r>
        <w:t xml:space="preserve">10. tabula. Efektivitātes rezultāti pētījumā „Hokusai-VTE” – mITT populācija, kopējais pētījuma periods </w:t>
      </w:r>
    </w:p>
    <w:tbl>
      <w:tblPr>
        <w:tblStyle w:val="TableGrid"/>
        <w:tblW w:w="8999" w:type="dxa"/>
        <w:tblInd w:w="-31" w:type="dxa"/>
        <w:tblCellMar>
          <w:top w:w="9" w:type="dxa"/>
          <w:left w:w="56" w:type="dxa"/>
          <w:bottom w:w="0" w:type="dxa"/>
          <w:right w:w="39" w:type="dxa"/>
        </w:tblCellMar>
        <w:tblLook w:val="04A0" w:firstRow="1" w:lastRow="0" w:firstColumn="1" w:lastColumn="0" w:noHBand="0" w:noVBand="1"/>
      </w:tblPr>
      <w:tblGrid>
        <w:gridCol w:w="2941"/>
        <w:gridCol w:w="2126"/>
        <w:gridCol w:w="1594"/>
        <w:gridCol w:w="2338"/>
      </w:tblGrid>
      <w:tr w:rsidR="005B1006" w14:paraId="6EF04C10" w14:textId="77777777" w:rsidTr="00A250AE">
        <w:trPr>
          <w:trHeight w:val="1103"/>
        </w:trPr>
        <w:tc>
          <w:tcPr>
            <w:tcW w:w="2941" w:type="dxa"/>
            <w:tcBorders>
              <w:top w:val="single" w:sz="6" w:space="0" w:color="000000"/>
              <w:left w:val="single" w:sz="6" w:space="0" w:color="000000"/>
              <w:bottom w:val="single" w:sz="6" w:space="0" w:color="000000"/>
              <w:right w:val="single" w:sz="6" w:space="0" w:color="000000"/>
            </w:tcBorders>
            <w:shd w:val="clear" w:color="auto" w:fill="D9D9D9"/>
          </w:tcPr>
          <w:p w14:paraId="462A435A" w14:textId="77777777" w:rsidR="005B1006" w:rsidRDefault="005B1006" w:rsidP="00A250AE">
            <w:pPr>
              <w:spacing w:after="0" w:line="259" w:lineRule="auto"/>
              <w:ind w:left="0" w:firstLine="0"/>
            </w:pPr>
            <w:r>
              <w:rPr>
                <w:b/>
              </w:rPr>
              <w:t>Primārais mērķa kritērijs</w:t>
            </w:r>
            <w:r>
              <w:rPr>
                <w:b/>
                <w:vertAlign w:val="superscript"/>
              </w:rPr>
              <w:t>a</w:t>
            </w:r>
            <w:r>
              <w:rPr>
                <w:b/>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Pr>
          <w:p w14:paraId="5E66AE5B" w14:textId="77777777" w:rsidR="005B1006" w:rsidRDefault="005B1006" w:rsidP="00A250AE">
            <w:pPr>
              <w:spacing w:after="45" w:line="256" w:lineRule="auto"/>
              <w:ind w:left="0" w:firstLine="0"/>
              <w:jc w:val="center"/>
            </w:pPr>
            <w:r>
              <w:rPr>
                <w:b/>
              </w:rPr>
              <w:t xml:space="preserve">Edoksabāns 60 mg (samazinātā deva </w:t>
            </w:r>
          </w:p>
          <w:p w14:paraId="243BD105" w14:textId="77777777" w:rsidR="005B1006" w:rsidRDefault="005B1006" w:rsidP="00A250AE">
            <w:pPr>
              <w:spacing w:after="71" w:line="259" w:lineRule="auto"/>
              <w:ind w:left="0" w:right="19" w:firstLine="0"/>
              <w:jc w:val="center"/>
            </w:pPr>
            <w:r>
              <w:rPr>
                <w:b/>
              </w:rPr>
              <w:t xml:space="preserve">30 mg) </w:t>
            </w:r>
          </w:p>
          <w:p w14:paraId="25CE7F3D" w14:textId="77777777" w:rsidR="005B1006" w:rsidRDefault="005B1006" w:rsidP="00A250AE">
            <w:pPr>
              <w:spacing w:after="0" w:line="259" w:lineRule="auto"/>
              <w:ind w:left="0" w:right="18" w:firstLine="0"/>
              <w:jc w:val="center"/>
            </w:pPr>
            <w:r>
              <w:rPr>
                <w:b/>
              </w:rPr>
              <w:t xml:space="preserve">(N = 4118) </w:t>
            </w:r>
          </w:p>
        </w:tc>
        <w:tc>
          <w:tcPr>
            <w:tcW w:w="159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F41981" w14:textId="77777777" w:rsidR="005B1006" w:rsidRDefault="005B1006" w:rsidP="00A250AE">
            <w:pPr>
              <w:spacing w:after="0" w:line="259" w:lineRule="auto"/>
              <w:ind w:left="166" w:right="129" w:firstLine="0"/>
              <w:jc w:val="center"/>
            </w:pPr>
            <w:r>
              <w:rPr>
                <w:b/>
              </w:rPr>
              <w:t xml:space="preserve">Varfarīns (N = 4122) </w:t>
            </w:r>
          </w:p>
        </w:tc>
        <w:tc>
          <w:tcPr>
            <w:tcW w:w="2338" w:type="dxa"/>
            <w:tcBorders>
              <w:top w:val="single" w:sz="6" w:space="0" w:color="000000"/>
              <w:left w:val="single" w:sz="6" w:space="0" w:color="000000"/>
              <w:bottom w:val="single" w:sz="6" w:space="0" w:color="000000"/>
              <w:right w:val="single" w:sz="6" w:space="0" w:color="000000"/>
            </w:tcBorders>
            <w:shd w:val="clear" w:color="auto" w:fill="D9D9D9"/>
          </w:tcPr>
          <w:p w14:paraId="18835B9B" w14:textId="77777777" w:rsidR="005B1006" w:rsidRDefault="005B1006" w:rsidP="00A250AE">
            <w:pPr>
              <w:spacing w:after="10" w:line="308" w:lineRule="auto"/>
              <w:ind w:left="0" w:firstLine="0"/>
              <w:jc w:val="center"/>
            </w:pPr>
            <w:r>
              <w:rPr>
                <w:b/>
              </w:rPr>
              <w:t xml:space="preserve">Edoksabāns, salīdzinot ar varfarīnu </w:t>
            </w:r>
          </w:p>
          <w:p w14:paraId="025E18F6" w14:textId="77777777" w:rsidR="005B1006" w:rsidRDefault="005B1006" w:rsidP="00A250AE">
            <w:pPr>
              <w:spacing w:after="0" w:line="259" w:lineRule="auto"/>
              <w:ind w:left="383" w:right="347" w:firstLine="0"/>
              <w:jc w:val="center"/>
            </w:pPr>
            <w:r>
              <w:rPr>
                <w:b/>
              </w:rPr>
              <w:t>RK (95% TI)</w:t>
            </w:r>
            <w:r>
              <w:rPr>
                <w:b/>
                <w:vertAlign w:val="superscript"/>
              </w:rPr>
              <w:t>b</w:t>
            </w:r>
            <w:r>
              <w:rPr>
                <w:b/>
              </w:rPr>
              <w:t xml:space="preserve"> p vērtība</w:t>
            </w:r>
            <w:r>
              <w:rPr>
                <w:b/>
                <w:vertAlign w:val="superscript"/>
              </w:rPr>
              <w:t>c</w:t>
            </w:r>
            <w:r>
              <w:rPr>
                <w:b/>
              </w:rPr>
              <w:t xml:space="preserve"> </w:t>
            </w:r>
          </w:p>
        </w:tc>
      </w:tr>
      <w:tr w:rsidR="005B1006" w14:paraId="309FE5EB" w14:textId="77777777" w:rsidTr="00A250AE">
        <w:trPr>
          <w:trHeight w:val="816"/>
        </w:trPr>
        <w:tc>
          <w:tcPr>
            <w:tcW w:w="2941" w:type="dxa"/>
            <w:tcBorders>
              <w:top w:val="single" w:sz="6" w:space="0" w:color="000000"/>
              <w:left w:val="single" w:sz="6" w:space="0" w:color="000000"/>
              <w:bottom w:val="single" w:sz="6" w:space="0" w:color="000000"/>
              <w:right w:val="single" w:sz="6" w:space="0" w:color="000000"/>
            </w:tcBorders>
          </w:tcPr>
          <w:p w14:paraId="13A2F296" w14:textId="77777777" w:rsidR="005B1006" w:rsidRDefault="005B1006" w:rsidP="00A250AE">
            <w:pPr>
              <w:spacing w:after="0" w:line="259" w:lineRule="auto"/>
              <w:ind w:left="0" w:firstLine="0"/>
            </w:pPr>
            <w:r>
              <w:t>Visi pacienti ar simptomātisku recidivējošu VTE,</w:t>
            </w:r>
            <w:r>
              <w:rPr>
                <w:b/>
                <w:vertAlign w:val="superscript"/>
              </w:rPr>
              <w:t>c</w:t>
            </w:r>
            <w:r>
              <w:t xml:space="preserve"> n (%) </w:t>
            </w:r>
          </w:p>
        </w:tc>
        <w:tc>
          <w:tcPr>
            <w:tcW w:w="2126" w:type="dxa"/>
            <w:tcBorders>
              <w:top w:val="single" w:sz="6" w:space="0" w:color="000000"/>
              <w:left w:val="single" w:sz="6" w:space="0" w:color="000000"/>
              <w:bottom w:val="single" w:sz="6" w:space="0" w:color="000000"/>
              <w:right w:val="single" w:sz="6" w:space="0" w:color="000000"/>
            </w:tcBorders>
          </w:tcPr>
          <w:p w14:paraId="6D4116C4" w14:textId="77777777" w:rsidR="005B1006" w:rsidRDefault="005B1006" w:rsidP="00A250AE">
            <w:pPr>
              <w:spacing w:after="0" w:line="259" w:lineRule="auto"/>
              <w:ind w:left="0" w:right="19" w:firstLine="0"/>
              <w:jc w:val="center"/>
            </w:pPr>
            <w:r>
              <w:t xml:space="preserve">130 (3,2) </w:t>
            </w:r>
          </w:p>
        </w:tc>
        <w:tc>
          <w:tcPr>
            <w:tcW w:w="1594" w:type="dxa"/>
            <w:tcBorders>
              <w:top w:val="single" w:sz="6" w:space="0" w:color="000000"/>
              <w:left w:val="single" w:sz="6" w:space="0" w:color="000000"/>
              <w:bottom w:val="single" w:sz="6" w:space="0" w:color="000000"/>
              <w:right w:val="single" w:sz="6" w:space="0" w:color="000000"/>
            </w:tcBorders>
          </w:tcPr>
          <w:p w14:paraId="751358D5" w14:textId="77777777" w:rsidR="005B1006" w:rsidRDefault="005B1006" w:rsidP="00A250AE">
            <w:pPr>
              <w:spacing w:after="0" w:line="259" w:lineRule="auto"/>
              <w:ind w:left="0" w:right="17" w:firstLine="0"/>
              <w:jc w:val="center"/>
            </w:pPr>
            <w:r>
              <w:t xml:space="preserve">146 (3,5) </w:t>
            </w:r>
          </w:p>
        </w:tc>
        <w:tc>
          <w:tcPr>
            <w:tcW w:w="2338" w:type="dxa"/>
            <w:tcBorders>
              <w:top w:val="single" w:sz="6" w:space="0" w:color="000000"/>
              <w:left w:val="single" w:sz="6" w:space="0" w:color="000000"/>
              <w:bottom w:val="single" w:sz="6" w:space="0" w:color="000000"/>
              <w:right w:val="single" w:sz="6" w:space="0" w:color="000000"/>
            </w:tcBorders>
          </w:tcPr>
          <w:p w14:paraId="0243D87F" w14:textId="77777777" w:rsidR="005B1006" w:rsidRDefault="005B1006" w:rsidP="00A250AE">
            <w:pPr>
              <w:spacing w:after="13" w:line="303" w:lineRule="auto"/>
              <w:ind w:left="305" w:right="288" w:firstLine="0"/>
              <w:jc w:val="center"/>
            </w:pPr>
            <w:r>
              <w:t xml:space="preserve">0,89 (0,70, 1,13) p vērtība &lt; 0,0001 </w:t>
            </w:r>
          </w:p>
          <w:p w14:paraId="7FD53003" w14:textId="77777777" w:rsidR="005B1006" w:rsidRDefault="005B1006" w:rsidP="00A250AE">
            <w:pPr>
              <w:spacing w:after="0" w:line="259" w:lineRule="auto"/>
              <w:ind w:left="0" w:right="19" w:firstLine="0"/>
              <w:jc w:val="center"/>
            </w:pPr>
            <w:r>
              <w:t xml:space="preserve">(līdzvērtīgums) </w:t>
            </w:r>
          </w:p>
        </w:tc>
      </w:tr>
      <w:tr w:rsidR="005B1006" w14:paraId="357DF4F7" w14:textId="77777777" w:rsidTr="00A250AE">
        <w:trPr>
          <w:trHeight w:val="308"/>
        </w:trPr>
        <w:tc>
          <w:tcPr>
            <w:tcW w:w="2941" w:type="dxa"/>
            <w:tcBorders>
              <w:top w:val="single" w:sz="6" w:space="0" w:color="000000"/>
              <w:left w:val="single" w:sz="6" w:space="0" w:color="000000"/>
              <w:bottom w:val="single" w:sz="6" w:space="0" w:color="000000"/>
              <w:right w:val="single" w:sz="6" w:space="0" w:color="000000"/>
            </w:tcBorders>
          </w:tcPr>
          <w:p w14:paraId="01443879" w14:textId="77777777" w:rsidR="005B1006" w:rsidRDefault="005B1006" w:rsidP="00A250AE">
            <w:pPr>
              <w:spacing w:after="0" w:line="259" w:lineRule="auto"/>
              <w:ind w:left="140" w:firstLine="0"/>
            </w:pPr>
            <w:r>
              <w:t xml:space="preserve">PE ar DVT vai bez tās </w:t>
            </w:r>
          </w:p>
        </w:tc>
        <w:tc>
          <w:tcPr>
            <w:tcW w:w="2126" w:type="dxa"/>
            <w:tcBorders>
              <w:top w:val="single" w:sz="6" w:space="0" w:color="000000"/>
              <w:left w:val="single" w:sz="6" w:space="0" w:color="000000"/>
              <w:bottom w:val="single" w:sz="6" w:space="0" w:color="000000"/>
              <w:right w:val="single" w:sz="6" w:space="0" w:color="000000"/>
            </w:tcBorders>
          </w:tcPr>
          <w:p w14:paraId="3137341A" w14:textId="77777777" w:rsidR="005B1006" w:rsidRDefault="005B1006" w:rsidP="00A250AE">
            <w:pPr>
              <w:spacing w:after="0" w:line="259" w:lineRule="auto"/>
              <w:ind w:left="0" w:right="19" w:firstLine="0"/>
              <w:jc w:val="center"/>
            </w:pPr>
            <w:r>
              <w:t xml:space="preserve">73 (1,8) </w:t>
            </w:r>
          </w:p>
        </w:tc>
        <w:tc>
          <w:tcPr>
            <w:tcW w:w="1594" w:type="dxa"/>
            <w:tcBorders>
              <w:top w:val="single" w:sz="6" w:space="0" w:color="000000"/>
              <w:left w:val="single" w:sz="6" w:space="0" w:color="000000"/>
              <w:bottom w:val="single" w:sz="6" w:space="0" w:color="000000"/>
              <w:right w:val="single" w:sz="6" w:space="0" w:color="000000"/>
            </w:tcBorders>
          </w:tcPr>
          <w:p w14:paraId="2DD6A17D" w14:textId="77777777" w:rsidR="005B1006" w:rsidRDefault="005B1006" w:rsidP="00A250AE">
            <w:pPr>
              <w:spacing w:after="0" w:line="259" w:lineRule="auto"/>
              <w:ind w:left="0" w:right="17" w:firstLine="0"/>
              <w:jc w:val="center"/>
            </w:pPr>
            <w:r>
              <w:t xml:space="preserve">83 (2,0) </w:t>
            </w:r>
          </w:p>
        </w:tc>
        <w:tc>
          <w:tcPr>
            <w:tcW w:w="2338" w:type="dxa"/>
            <w:tcBorders>
              <w:top w:val="single" w:sz="6" w:space="0" w:color="000000"/>
              <w:left w:val="single" w:sz="6" w:space="0" w:color="000000"/>
              <w:bottom w:val="single" w:sz="6" w:space="0" w:color="000000"/>
              <w:right w:val="single" w:sz="6" w:space="0" w:color="000000"/>
            </w:tcBorders>
          </w:tcPr>
          <w:p w14:paraId="1DFE07CD" w14:textId="77777777" w:rsidR="005B1006" w:rsidRDefault="005B1006" w:rsidP="00A250AE">
            <w:pPr>
              <w:spacing w:after="0" w:line="259" w:lineRule="auto"/>
              <w:ind w:left="36" w:firstLine="0"/>
              <w:jc w:val="center"/>
            </w:pPr>
            <w:r>
              <w:t xml:space="preserve"> </w:t>
            </w:r>
          </w:p>
        </w:tc>
      </w:tr>
      <w:tr w:rsidR="005B1006" w14:paraId="3041F2D9" w14:textId="77777777" w:rsidTr="00A250AE">
        <w:trPr>
          <w:trHeight w:val="560"/>
        </w:trPr>
        <w:tc>
          <w:tcPr>
            <w:tcW w:w="2941" w:type="dxa"/>
            <w:tcBorders>
              <w:top w:val="single" w:sz="6" w:space="0" w:color="000000"/>
              <w:left w:val="single" w:sz="6" w:space="0" w:color="000000"/>
              <w:bottom w:val="single" w:sz="6" w:space="0" w:color="000000"/>
              <w:right w:val="single" w:sz="6" w:space="0" w:color="000000"/>
            </w:tcBorders>
          </w:tcPr>
          <w:p w14:paraId="3C2B6D60" w14:textId="77777777" w:rsidR="005B1006" w:rsidRDefault="005B1006" w:rsidP="00A250AE">
            <w:pPr>
              <w:spacing w:after="0" w:line="259" w:lineRule="auto"/>
              <w:ind w:left="320" w:firstLine="0"/>
            </w:pPr>
            <w:r>
              <w:t xml:space="preserve">Letāla PE/nāve, kad nevar izslēgt PE </w:t>
            </w:r>
          </w:p>
        </w:tc>
        <w:tc>
          <w:tcPr>
            <w:tcW w:w="2126" w:type="dxa"/>
            <w:tcBorders>
              <w:top w:val="single" w:sz="6" w:space="0" w:color="000000"/>
              <w:left w:val="single" w:sz="6" w:space="0" w:color="000000"/>
              <w:bottom w:val="single" w:sz="6" w:space="0" w:color="000000"/>
              <w:right w:val="single" w:sz="6" w:space="0" w:color="000000"/>
            </w:tcBorders>
          </w:tcPr>
          <w:p w14:paraId="690FE286" w14:textId="77777777" w:rsidR="005B1006" w:rsidRDefault="005B1006" w:rsidP="00A250AE">
            <w:pPr>
              <w:spacing w:after="0" w:line="259" w:lineRule="auto"/>
              <w:ind w:left="0" w:right="19" w:firstLine="0"/>
              <w:jc w:val="center"/>
            </w:pPr>
            <w:r>
              <w:t xml:space="preserve">24 (0,6) </w:t>
            </w:r>
          </w:p>
        </w:tc>
        <w:tc>
          <w:tcPr>
            <w:tcW w:w="1594" w:type="dxa"/>
            <w:tcBorders>
              <w:top w:val="single" w:sz="6" w:space="0" w:color="000000"/>
              <w:left w:val="single" w:sz="6" w:space="0" w:color="000000"/>
              <w:bottom w:val="single" w:sz="6" w:space="0" w:color="000000"/>
              <w:right w:val="single" w:sz="6" w:space="0" w:color="000000"/>
            </w:tcBorders>
          </w:tcPr>
          <w:p w14:paraId="2172290A" w14:textId="77777777" w:rsidR="005B1006" w:rsidRDefault="005B1006" w:rsidP="00A250AE">
            <w:pPr>
              <w:spacing w:after="0" w:line="259" w:lineRule="auto"/>
              <w:ind w:left="0" w:right="17" w:firstLine="0"/>
              <w:jc w:val="center"/>
            </w:pPr>
            <w:r>
              <w:t xml:space="preserve">24 (0,6) </w:t>
            </w:r>
          </w:p>
        </w:tc>
        <w:tc>
          <w:tcPr>
            <w:tcW w:w="2338" w:type="dxa"/>
            <w:tcBorders>
              <w:top w:val="single" w:sz="6" w:space="0" w:color="000000"/>
              <w:left w:val="single" w:sz="6" w:space="0" w:color="000000"/>
              <w:bottom w:val="single" w:sz="6" w:space="0" w:color="000000"/>
              <w:right w:val="single" w:sz="6" w:space="0" w:color="000000"/>
            </w:tcBorders>
          </w:tcPr>
          <w:p w14:paraId="339D2FDD" w14:textId="77777777" w:rsidR="005B1006" w:rsidRDefault="005B1006" w:rsidP="00A250AE">
            <w:pPr>
              <w:spacing w:after="0" w:line="259" w:lineRule="auto"/>
              <w:ind w:left="36" w:firstLine="0"/>
              <w:jc w:val="center"/>
            </w:pPr>
            <w:r>
              <w:t xml:space="preserve"> </w:t>
            </w:r>
          </w:p>
        </w:tc>
      </w:tr>
      <w:tr w:rsidR="005B1006" w14:paraId="07457DD6" w14:textId="77777777" w:rsidTr="00A250AE">
        <w:trPr>
          <w:trHeight w:val="308"/>
        </w:trPr>
        <w:tc>
          <w:tcPr>
            <w:tcW w:w="2941" w:type="dxa"/>
            <w:tcBorders>
              <w:top w:val="single" w:sz="6" w:space="0" w:color="000000"/>
              <w:left w:val="single" w:sz="6" w:space="0" w:color="000000"/>
              <w:bottom w:val="single" w:sz="6" w:space="0" w:color="000000"/>
              <w:right w:val="single" w:sz="6" w:space="0" w:color="000000"/>
            </w:tcBorders>
          </w:tcPr>
          <w:p w14:paraId="6D0E4632" w14:textId="77777777" w:rsidR="005B1006" w:rsidRDefault="005B1006" w:rsidP="00A250AE">
            <w:pPr>
              <w:spacing w:after="0" w:line="259" w:lineRule="auto"/>
              <w:ind w:left="320" w:firstLine="0"/>
            </w:pPr>
            <w:r>
              <w:t xml:space="preserve">Neletāla PE </w:t>
            </w:r>
          </w:p>
        </w:tc>
        <w:tc>
          <w:tcPr>
            <w:tcW w:w="2126" w:type="dxa"/>
            <w:tcBorders>
              <w:top w:val="single" w:sz="6" w:space="0" w:color="000000"/>
              <w:left w:val="single" w:sz="6" w:space="0" w:color="000000"/>
              <w:bottom w:val="single" w:sz="6" w:space="0" w:color="000000"/>
              <w:right w:val="single" w:sz="6" w:space="0" w:color="000000"/>
            </w:tcBorders>
          </w:tcPr>
          <w:p w14:paraId="57A7E46C" w14:textId="77777777" w:rsidR="005B1006" w:rsidRDefault="005B1006" w:rsidP="00A250AE">
            <w:pPr>
              <w:spacing w:after="0" w:line="259" w:lineRule="auto"/>
              <w:ind w:left="0" w:right="19" w:firstLine="0"/>
              <w:jc w:val="center"/>
            </w:pPr>
            <w:r>
              <w:t xml:space="preserve">49 (1,2) </w:t>
            </w:r>
          </w:p>
        </w:tc>
        <w:tc>
          <w:tcPr>
            <w:tcW w:w="1594" w:type="dxa"/>
            <w:tcBorders>
              <w:top w:val="single" w:sz="6" w:space="0" w:color="000000"/>
              <w:left w:val="single" w:sz="6" w:space="0" w:color="000000"/>
              <w:bottom w:val="single" w:sz="6" w:space="0" w:color="000000"/>
              <w:right w:val="single" w:sz="6" w:space="0" w:color="000000"/>
            </w:tcBorders>
          </w:tcPr>
          <w:p w14:paraId="5EF2F19A" w14:textId="77777777" w:rsidR="005B1006" w:rsidRDefault="005B1006" w:rsidP="00A250AE">
            <w:pPr>
              <w:spacing w:after="0" w:line="259" w:lineRule="auto"/>
              <w:ind w:left="0" w:right="17" w:firstLine="0"/>
              <w:jc w:val="center"/>
            </w:pPr>
            <w:r>
              <w:t xml:space="preserve">59 (1,4) </w:t>
            </w:r>
          </w:p>
        </w:tc>
        <w:tc>
          <w:tcPr>
            <w:tcW w:w="2338" w:type="dxa"/>
            <w:tcBorders>
              <w:top w:val="single" w:sz="6" w:space="0" w:color="000000"/>
              <w:left w:val="single" w:sz="6" w:space="0" w:color="000000"/>
              <w:bottom w:val="single" w:sz="6" w:space="0" w:color="000000"/>
              <w:right w:val="single" w:sz="6" w:space="0" w:color="000000"/>
            </w:tcBorders>
          </w:tcPr>
          <w:p w14:paraId="292B9024" w14:textId="77777777" w:rsidR="005B1006" w:rsidRDefault="005B1006" w:rsidP="00A250AE">
            <w:pPr>
              <w:spacing w:after="0" w:line="259" w:lineRule="auto"/>
              <w:ind w:left="36" w:firstLine="0"/>
              <w:jc w:val="center"/>
            </w:pPr>
            <w:r>
              <w:t xml:space="preserve"> </w:t>
            </w:r>
          </w:p>
        </w:tc>
      </w:tr>
      <w:tr w:rsidR="005B1006" w14:paraId="015C41E6" w14:textId="77777777" w:rsidTr="00A250AE">
        <w:trPr>
          <w:trHeight w:val="307"/>
        </w:trPr>
        <w:tc>
          <w:tcPr>
            <w:tcW w:w="2941" w:type="dxa"/>
            <w:tcBorders>
              <w:top w:val="single" w:sz="6" w:space="0" w:color="000000"/>
              <w:left w:val="single" w:sz="6" w:space="0" w:color="000000"/>
              <w:bottom w:val="single" w:sz="6" w:space="0" w:color="000000"/>
              <w:right w:val="single" w:sz="6" w:space="0" w:color="000000"/>
            </w:tcBorders>
          </w:tcPr>
          <w:p w14:paraId="0FF93C88" w14:textId="77777777" w:rsidR="005B1006" w:rsidRDefault="005B1006" w:rsidP="00A250AE">
            <w:pPr>
              <w:spacing w:after="0" w:line="259" w:lineRule="auto"/>
              <w:ind w:left="140" w:firstLine="0"/>
            </w:pPr>
            <w:r>
              <w:t xml:space="preserve">Tikai DVT </w:t>
            </w:r>
          </w:p>
        </w:tc>
        <w:tc>
          <w:tcPr>
            <w:tcW w:w="2126" w:type="dxa"/>
            <w:tcBorders>
              <w:top w:val="single" w:sz="6" w:space="0" w:color="000000"/>
              <w:left w:val="single" w:sz="6" w:space="0" w:color="000000"/>
              <w:bottom w:val="single" w:sz="6" w:space="0" w:color="000000"/>
              <w:right w:val="single" w:sz="6" w:space="0" w:color="000000"/>
            </w:tcBorders>
          </w:tcPr>
          <w:p w14:paraId="6793F350" w14:textId="77777777" w:rsidR="005B1006" w:rsidRDefault="005B1006" w:rsidP="00A250AE">
            <w:pPr>
              <w:spacing w:after="0" w:line="259" w:lineRule="auto"/>
              <w:ind w:left="0" w:right="19" w:firstLine="0"/>
              <w:jc w:val="center"/>
            </w:pPr>
            <w:r>
              <w:t xml:space="preserve">57 (1,4) </w:t>
            </w:r>
          </w:p>
        </w:tc>
        <w:tc>
          <w:tcPr>
            <w:tcW w:w="1594" w:type="dxa"/>
            <w:tcBorders>
              <w:top w:val="single" w:sz="6" w:space="0" w:color="000000"/>
              <w:left w:val="single" w:sz="6" w:space="0" w:color="000000"/>
              <w:bottom w:val="single" w:sz="6" w:space="0" w:color="000000"/>
              <w:right w:val="single" w:sz="6" w:space="0" w:color="000000"/>
            </w:tcBorders>
          </w:tcPr>
          <w:p w14:paraId="31EA2FF6" w14:textId="77777777" w:rsidR="005B1006" w:rsidRDefault="005B1006" w:rsidP="00A250AE">
            <w:pPr>
              <w:spacing w:after="0" w:line="259" w:lineRule="auto"/>
              <w:ind w:left="0" w:right="17" w:firstLine="0"/>
              <w:jc w:val="center"/>
            </w:pPr>
            <w:r>
              <w:t xml:space="preserve">63 (1,5) </w:t>
            </w:r>
          </w:p>
        </w:tc>
        <w:tc>
          <w:tcPr>
            <w:tcW w:w="2338" w:type="dxa"/>
            <w:tcBorders>
              <w:top w:val="single" w:sz="6" w:space="0" w:color="000000"/>
              <w:left w:val="single" w:sz="6" w:space="0" w:color="000000"/>
              <w:bottom w:val="single" w:sz="6" w:space="0" w:color="000000"/>
              <w:right w:val="single" w:sz="6" w:space="0" w:color="000000"/>
            </w:tcBorders>
          </w:tcPr>
          <w:p w14:paraId="003EB96D" w14:textId="77777777" w:rsidR="005B1006" w:rsidRDefault="005B1006" w:rsidP="00A250AE">
            <w:pPr>
              <w:spacing w:after="0" w:line="259" w:lineRule="auto"/>
              <w:ind w:left="36" w:firstLine="0"/>
              <w:jc w:val="center"/>
            </w:pPr>
            <w:r>
              <w:t xml:space="preserve"> </w:t>
            </w:r>
          </w:p>
        </w:tc>
      </w:tr>
    </w:tbl>
    <w:p w14:paraId="4B58C9FB" w14:textId="77777777" w:rsidR="005B1006" w:rsidRDefault="005B1006" w:rsidP="005B1006">
      <w:pPr>
        <w:spacing w:after="43"/>
        <w:ind w:left="-10" w:right="8"/>
      </w:pPr>
      <w:r>
        <w:t xml:space="preserve">Saīsinājumi: TI = ticamības intervāls; DVT = dziļo vēnu tromboze, mITT = modificētais nolūks ārstēt; RK = riska koeficients, salīdzinot ar varfarīnu; n = notikumu skaits; N = pacientu skaits mITT populācijā; PE = plaušu embolija; VTE = vēnu trombozes notikumi. </w:t>
      </w:r>
    </w:p>
    <w:p w14:paraId="28497797" w14:textId="77777777" w:rsidR="005B1006" w:rsidRDefault="005B1006" w:rsidP="005B1006">
      <w:pPr>
        <w:numPr>
          <w:ilvl w:val="0"/>
          <w:numId w:val="4"/>
        </w:numPr>
        <w:spacing w:line="337" w:lineRule="auto"/>
        <w:ind w:right="8" w:hanging="426"/>
      </w:pPr>
      <w:r>
        <w:t xml:space="preserve">PN: visi nejaušināti grupās iedalītie pacienti, kas saņēma vismaz 1 pētījuma zāļu devu un kam pētījuma sākumā bija apstiprināta sākotnējs DVT vai PE notikums. </w:t>
      </w:r>
    </w:p>
    <w:p w14:paraId="257DAD01" w14:textId="77777777" w:rsidR="005B1006" w:rsidRDefault="005B1006" w:rsidP="005B1006">
      <w:pPr>
        <w:numPr>
          <w:ilvl w:val="0"/>
          <w:numId w:val="4"/>
        </w:numPr>
        <w:spacing w:after="36"/>
        <w:ind w:right="8" w:hanging="426"/>
      </w:pPr>
      <w:r>
        <w:t xml:space="preserve">RK, divpusējais TI, pamatots ar Koksa proporcionālo apdraudējumu regresijas modeli, kurā iekļauta ārstēšana un šādi randomizācijas stratifikācijas faktori kā līdzmainīgie: diagnozes noteikšana (PE ar vai bez DVT, tikai DVT), bāzlīnijas riska faktori (īslaicīgi faktori, visi citi) un nepieciešamība randomizācijā lietot 30 mg edoksabāna/edoksabāna placebo devu. </w:t>
      </w:r>
    </w:p>
    <w:p w14:paraId="6162CE56" w14:textId="77777777" w:rsidR="005B1006" w:rsidRDefault="005B1006" w:rsidP="005B1006">
      <w:pPr>
        <w:numPr>
          <w:ilvl w:val="0"/>
          <w:numId w:val="4"/>
        </w:numPr>
        <w:spacing w:after="30"/>
        <w:ind w:right="8" w:hanging="426"/>
      </w:pPr>
      <w:r>
        <w:t xml:space="preserve">P vērtība ir iepriekš definēta līdzvērtības robeža, kas ir 1,5. </w:t>
      </w:r>
    </w:p>
    <w:p w14:paraId="2692A451" w14:textId="77777777" w:rsidR="005B1006" w:rsidRDefault="005B1006" w:rsidP="005B1006">
      <w:pPr>
        <w:spacing w:after="26" w:line="259" w:lineRule="auto"/>
        <w:ind w:firstLine="0"/>
      </w:pPr>
      <w:r>
        <w:rPr>
          <w:sz w:val="24"/>
        </w:rPr>
        <w:t xml:space="preserve"> </w:t>
      </w:r>
    </w:p>
    <w:p w14:paraId="62B6808E" w14:textId="77777777" w:rsidR="005B1006" w:rsidRDefault="005B1006" w:rsidP="005B1006">
      <w:pPr>
        <w:ind w:left="-10" w:right="8"/>
      </w:pPr>
      <w:r>
        <w:t xml:space="preserve">No pacientiem, kam deva bija samazināta līdz 30 mg (galvenokārt mazas ķermeņa masas vai nieru darbības dēļ), 15 (2,1%) edoksabānu lietojošajiem pacientiem un 22 (3,1%) varfarīnu lietojošajiem pacientiem bija recidivējoša VTE [RK (95% TI): 0,69 (0,36, 1,34)]. </w:t>
      </w:r>
    </w:p>
    <w:p w14:paraId="0E6EAC38" w14:textId="77777777" w:rsidR="005B1006" w:rsidRDefault="005B1006" w:rsidP="005B1006">
      <w:pPr>
        <w:spacing w:after="44" w:line="259" w:lineRule="auto"/>
        <w:ind w:firstLine="0"/>
      </w:pPr>
      <w:r>
        <w:t xml:space="preserve"> </w:t>
      </w:r>
    </w:p>
    <w:p w14:paraId="46D191A5" w14:textId="77777777" w:rsidR="005B1006" w:rsidRDefault="005B1006" w:rsidP="005B1006">
      <w:pPr>
        <w:spacing w:line="320" w:lineRule="auto"/>
        <w:ind w:left="-10" w:right="8"/>
      </w:pPr>
      <w:r>
        <w:t xml:space="preserve">Sekundāro salikto mērķa kritēriju – recidivējošu VTE un jebkādas etioloģijas mirstību - novēroja 138 pacientiem (3,4%) edoksabāna grupā un 158 pacientiem (3,9%) varfarīna grupā [RK (95% TI): 0,87 (0,70, 1,10)]. </w:t>
      </w:r>
    </w:p>
    <w:p w14:paraId="70CD54B5" w14:textId="77777777" w:rsidR="005B1006" w:rsidRDefault="005B1006" w:rsidP="005B1006">
      <w:pPr>
        <w:spacing w:after="47" w:line="259" w:lineRule="auto"/>
        <w:ind w:firstLine="0"/>
      </w:pPr>
      <w:r>
        <w:t xml:space="preserve"> </w:t>
      </w:r>
    </w:p>
    <w:p w14:paraId="1037A7EE" w14:textId="77777777" w:rsidR="005B1006" w:rsidRDefault="005B1006" w:rsidP="005B1006">
      <w:pPr>
        <w:spacing w:after="0" w:line="319" w:lineRule="auto"/>
        <w:ind w:right="84" w:firstLine="0"/>
        <w:jc w:val="both"/>
      </w:pPr>
      <w:r>
        <w:t xml:space="preserve">Jebkādas etioloģijas mirstības rezultāti (izskatīti nāves gadījumi) pētījumā „Hokusai-VTE” bija 136 (3,3%) pacientiem, kas lietoja edoksabānu 60 mg (samazināto devu 30 mg), un 130 (3,2%) varfarīna grupā. </w:t>
      </w:r>
    </w:p>
    <w:p w14:paraId="423218D2" w14:textId="77777777" w:rsidR="005B1006" w:rsidRDefault="005B1006" w:rsidP="005B1006">
      <w:pPr>
        <w:spacing w:after="0" w:line="259" w:lineRule="auto"/>
        <w:ind w:firstLine="0"/>
      </w:pPr>
      <w:r>
        <w:t xml:space="preserve"> </w:t>
      </w:r>
    </w:p>
    <w:p w14:paraId="16EF1572" w14:textId="77777777" w:rsidR="005B1006" w:rsidRDefault="005B1006" w:rsidP="005B1006">
      <w:pPr>
        <w:spacing w:after="28"/>
        <w:ind w:left="-10" w:right="8"/>
      </w:pPr>
      <w:r>
        <w:t xml:space="preserve">Iepriekš noteiktu apakšgrupu analīzē par PE pacientiem konstatēja, ka 447 (30,6%) un 483 (32,2%) attiecīgi ar edoksabānu un varfarīnu ārstētajiem pacientiem bija PE un N-terminālais pro-B-tipa natriurētiskais peptīds (NT-proBNP) ≥500 pg/ml. Primāro efektivitātes iznākumu novēroja 14 (3,1%) un 30 (6,2%) attiecīgi edoksabānu un varfarīnu saņēmušo pacientu [RK (95% TI): 0,50 (0,26, </w:t>
      </w:r>
    </w:p>
    <w:p w14:paraId="6D167221" w14:textId="77777777" w:rsidR="005B1006" w:rsidRDefault="005B1006" w:rsidP="005B1006">
      <w:pPr>
        <w:ind w:left="-10" w:right="8"/>
      </w:pPr>
      <w:r>
        <w:t xml:space="preserve">0,94)]. </w:t>
      </w:r>
    </w:p>
    <w:p w14:paraId="11255347" w14:textId="77777777" w:rsidR="005B1006" w:rsidRDefault="005B1006" w:rsidP="005B1006">
      <w:pPr>
        <w:spacing w:after="0" w:line="259" w:lineRule="auto"/>
        <w:ind w:firstLine="0"/>
      </w:pPr>
      <w:r>
        <w:t xml:space="preserve"> </w:t>
      </w:r>
    </w:p>
    <w:p w14:paraId="5FF884DC" w14:textId="77777777" w:rsidR="005B1006" w:rsidRDefault="005B1006" w:rsidP="005B1006">
      <w:pPr>
        <w:spacing w:after="40"/>
        <w:ind w:left="-10" w:right="8"/>
      </w:pPr>
      <w:r>
        <w:t xml:space="preserve">Efektivitātes rezultāti iepriekš noteiktām lielākajām apakšgrupām (ja nepieciešams, ar samazinātu devu), kas iedalītas, piemēram, pēc vecuma, ķermeņa masas, dzimuma un nieru darbības stāvokļa, atbilda primārajiem efektivitātes rezultātiem pētījuma kopējā populācijā. </w:t>
      </w:r>
    </w:p>
    <w:p w14:paraId="5C0DE35B" w14:textId="77777777" w:rsidR="005B1006" w:rsidRDefault="005B1006" w:rsidP="005B1006">
      <w:pPr>
        <w:spacing w:after="47" w:line="259" w:lineRule="auto"/>
        <w:ind w:firstLine="0"/>
      </w:pPr>
      <w:r>
        <w:t xml:space="preserve"> </w:t>
      </w:r>
    </w:p>
    <w:p w14:paraId="1BD8086E" w14:textId="77777777" w:rsidR="005B1006" w:rsidRDefault="005B1006" w:rsidP="005B1006">
      <w:pPr>
        <w:spacing w:after="39"/>
        <w:ind w:left="-10" w:right="8"/>
      </w:pPr>
      <w:r>
        <w:t xml:space="preserve">Primārais drošuma mērķa kritērijs bija klīniski nozīmīga asiņošana (būtiska vai klīniski nozīmīga mazāk būtiska).  </w:t>
      </w:r>
    </w:p>
    <w:p w14:paraId="49C82CCA" w14:textId="77777777" w:rsidR="005B1006" w:rsidRDefault="005B1006" w:rsidP="005B1006">
      <w:pPr>
        <w:spacing w:after="47" w:line="259" w:lineRule="auto"/>
        <w:ind w:firstLine="0"/>
      </w:pPr>
      <w:r>
        <w:t xml:space="preserve"> </w:t>
      </w:r>
    </w:p>
    <w:p w14:paraId="1F6B3081" w14:textId="77777777" w:rsidR="005B1006" w:rsidRDefault="005B1006" w:rsidP="005B1006">
      <w:pPr>
        <w:spacing w:after="47"/>
        <w:ind w:left="-10" w:right="8"/>
      </w:pPr>
      <w:r>
        <w:t xml:space="preserve">11. tabulā apkopoti izskatītie asiņošanas notikumi no drošuma analīzes kopas par ārstēšanas laika posmu. </w:t>
      </w:r>
    </w:p>
    <w:p w14:paraId="6E3086A6" w14:textId="77777777" w:rsidR="005B1006" w:rsidRDefault="005B1006" w:rsidP="005B1006">
      <w:pPr>
        <w:spacing w:line="319" w:lineRule="auto"/>
        <w:ind w:left="-10" w:right="8"/>
      </w:pPr>
      <w:r>
        <w:t xml:space="preserve">Edoksabāna grupā salīdzinājumā ar varfarīna grupu novēroja primārā drošuma mērķa kritērija – klīniski nozīmīgas asiņošanas, kas ir būtiskas asiņošanas vai klīniski nozīmīgas mazāk būtiskas (KNMB) asiņošanas saliktais kritērijs – riska pakāpes nozīmīgu samazinājumu; to novēroja 349 no 4118 pacientiem (8,5%) edoksabāna grupā un 423 no 4122 pacientiem (10,3%) varfarīna grupā [RK (95% TI): 0,81 (0,71, 0,94); p = 0,004 pārākumam]. </w:t>
      </w:r>
    </w:p>
    <w:p w14:paraId="56AA7A93" w14:textId="77777777" w:rsidR="005B1006" w:rsidRDefault="005B1006" w:rsidP="005B1006">
      <w:pPr>
        <w:spacing w:after="49" w:line="259" w:lineRule="auto"/>
        <w:ind w:left="3" w:firstLine="0"/>
      </w:pPr>
      <w:r>
        <w:t xml:space="preserve"> </w:t>
      </w:r>
    </w:p>
    <w:p w14:paraId="652D455F" w14:textId="77777777" w:rsidR="005B1006" w:rsidRDefault="005B1006" w:rsidP="005B1006">
      <w:pPr>
        <w:pStyle w:val="Heading4"/>
        <w:ind w:left="1123" w:right="0" w:hanging="1133"/>
      </w:pPr>
      <w:r>
        <w:t>11. tabula. Asiņošanas notikumi pētījumā „Hokusai-VTE” – drošuma analīze par ārstēšanas laika posmu</w:t>
      </w:r>
      <w:r>
        <w:rPr>
          <w:vertAlign w:val="superscript"/>
        </w:rPr>
        <w:t>a</w:t>
      </w:r>
      <w:r>
        <w:t xml:space="preserve"> </w:t>
      </w:r>
    </w:p>
    <w:tbl>
      <w:tblPr>
        <w:tblStyle w:val="TableGrid"/>
        <w:tblW w:w="8742" w:type="dxa"/>
        <w:tblInd w:w="99" w:type="dxa"/>
        <w:tblCellMar>
          <w:top w:w="6" w:type="dxa"/>
          <w:left w:w="57" w:type="dxa"/>
          <w:bottom w:w="0" w:type="dxa"/>
          <w:right w:w="115" w:type="dxa"/>
        </w:tblCellMar>
        <w:tblLook w:val="04A0" w:firstRow="1" w:lastRow="0" w:firstColumn="1" w:lastColumn="0" w:noHBand="0" w:noVBand="1"/>
      </w:tblPr>
      <w:tblGrid>
        <w:gridCol w:w="3053"/>
        <w:gridCol w:w="3260"/>
        <w:gridCol w:w="2429"/>
      </w:tblGrid>
      <w:tr w:rsidR="005B1006" w14:paraId="27B30EAE" w14:textId="77777777" w:rsidTr="00A250AE">
        <w:trPr>
          <w:trHeight w:val="832"/>
        </w:trPr>
        <w:tc>
          <w:tcPr>
            <w:tcW w:w="3052" w:type="dxa"/>
            <w:tcBorders>
              <w:top w:val="single" w:sz="6" w:space="0" w:color="000000"/>
              <w:left w:val="single" w:sz="6" w:space="0" w:color="000000"/>
              <w:bottom w:val="single" w:sz="6" w:space="0" w:color="000000"/>
              <w:right w:val="single" w:sz="6" w:space="0" w:color="000000"/>
            </w:tcBorders>
            <w:shd w:val="clear" w:color="auto" w:fill="D9D9D9"/>
          </w:tcPr>
          <w:p w14:paraId="14CB43E7" w14:textId="77777777" w:rsidR="005B1006" w:rsidRDefault="005B1006" w:rsidP="00A250AE">
            <w:pPr>
              <w:spacing w:after="0" w:line="259" w:lineRule="auto"/>
              <w:ind w:left="0" w:firstLine="0"/>
            </w:pPr>
            <w:r>
              <w:rPr>
                <w:b/>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4F8A818" w14:textId="77777777" w:rsidR="005B1006" w:rsidRDefault="005B1006" w:rsidP="00A250AE">
            <w:pPr>
              <w:spacing w:after="69" w:line="259" w:lineRule="auto"/>
              <w:ind w:left="59" w:firstLine="0"/>
              <w:jc w:val="center"/>
            </w:pPr>
            <w:r>
              <w:rPr>
                <w:b/>
              </w:rPr>
              <w:t xml:space="preserve">Edoksabāns 60 mg </w:t>
            </w:r>
          </w:p>
          <w:p w14:paraId="62557CE1" w14:textId="77777777" w:rsidR="005B1006" w:rsidRDefault="005B1006" w:rsidP="00A250AE">
            <w:pPr>
              <w:spacing w:after="73" w:line="259" w:lineRule="auto"/>
              <w:ind w:left="61" w:firstLine="0"/>
              <w:jc w:val="center"/>
            </w:pPr>
            <w:r>
              <w:rPr>
                <w:b/>
              </w:rPr>
              <w:t xml:space="preserve">(samazinātā deva 30 mg) </w:t>
            </w:r>
          </w:p>
          <w:p w14:paraId="04A4AD9E" w14:textId="77777777" w:rsidR="005B1006" w:rsidRDefault="005B1006" w:rsidP="00A250AE">
            <w:pPr>
              <w:spacing w:after="0" w:line="259" w:lineRule="auto"/>
              <w:ind w:left="60" w:firstLine="0"/>
              <w:jc w:val="center"/>
            </w:pPr>
            <w:r>
              <w:rPr>
                <w:b/>
              </w:rPr>
              <w:t xml:space="preserve">(N = 4118) </w:t>
            </w:r>
          </w:p>
        </w:tc>
        <w:tc>
          <w:tcPr>
            <w:tcW w:w="24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CA52CC3" w14:textId="77777777" w:rsidR="005B1006" w:rsidRDefault="005B1006" w:rsidP="00A250AE">
            <w:pPr>
              <w:spacing w:after="0" w:line="259" w:lineRule="auto"/>
              <w:ind w:left="583" w:right="471" w:firstLine="0"/>
              <w:jc w:val="center"/>
            </w:pPr>
            <w:r>
              <w:rPr>
                <w:b/>
              </w:rPr>
              <w:t xml:space="preserve">Varfarīns (N = 4122) </w:t>
            </w:r>
          </w:p>
        </w:tc>
      </w:tr>
      <w:tr w:rsidR="005B1006" w14:paraId="112B4CC1" w14:textId="77777777" w:rsidTr="00A250AE">
        <w:trPr>
          <w:trHeight w:val="559"/>
        </w:trPr>
        <w:tc>
          <w:tcPr>
            <w:tcW w:w="3052" w:type="dxa"/>
            <w:tcBorders>
              <w:top w:val="single" w:sz="6" w:space="0" w:color="000000"/>
              <w:left w:val="single" w:sz="6" w:space="0" w:color="000000"/>
              <w:bottom w:val="single" w:sz="6" w:space="0" w:color="000000"/>
              <w:right w:val="single" w:sz="6" w:space="0" w:color="000000"/>
            </w:tcBorders>
            <w:shd w:val="clear" w:color="auto" w:fill="D9D9D9"/>
          </w:tcPr>
          <w:p w14:paraId="1B46FAE3" w14:textId="77777777" w:rsidR="005B1006" w:rsidRDefault="005B1006" w:rsidP="00A250AE">
            <w:pPr>
              <w:spacing w:after="0" w:line="259" w:lineRule="auto"/>
              <w:ind w:left="0" w:firstLine="0"/>
            </w:pPr>
            <w:r>
              <w:rPr>
                <w:b/>
              </w:rPr>
              <w:t>Klīniski nozīmīga asiņošana</w:t>
            </w:r>
            <w:r>
              <w:t xml:space="preserve">  (būtiska un KNMB),</w:t>
            </w:r>
            <w:r>
              <w:rPr>
                <w:b/>
                <w:vertAlign w:val="superscript"/>
              </w:rPr>
              <w:t>b</w:t>
            </w:r>
            <w:r>
              <w:t xml:space="preserve"> n (%) </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0D13897F" w14:textId="77777777" w:rsidR="005B1006" w:rsidRDefault="005B1006" w:rsidP="00A250AE">
            <w:pPr>
              <w:spacing w:after="0" w:line="259" w:lineRule="auto"/>
              <w:ind w:left="114" w:firstLine="0"/>
              <w:jc w:val="center"/>
            </w:pPr>
            <w:r>
              <w:t xml:space="preserve"> </w:t>
            </w:r>
          </w:p>
        </w:tc>
        <w:tc>
          <w:tcPr>
            <w:tcW w:w="2429" w:type="dxa"/>
            <w:tcBorders>
              <w:top w:val="single" w:sz="6" w:space="0" w:color="000000"/>
              <w:left w:val="single" w:sz="6" w:space="0" w:color="000000"/>
              <w:bottom w:val="single" w:sz="6" w:space="0" w:color="000000"/>
              <w:right w:val="single" w:sz="6" w:space="0" w:color="000000"/>
            </w:tcBorders>
            <w:shd w:val="clear" w:color="auto" w:fill="D9D9D9"/>
          </w:tcPr>
          <w:p w14:paraId="418E7500" w14:textId="77777777" w:rsidR="005B1006" w:rsidRDefault="005B1006" w:rsidP="00A250AE">
            <w:pPr>
              <w:spacing w:after="0" w:line="259" w:lineRule="auto"/>
              <w:ind w:left="113" w:firstLine="0"/>
              <w:jc w:val="center"/>
            </w:pPr>
            <w:r>
              <w:t xml:space="preserve"> </w:t>
            </w:r>
          </w:p>
        </w:tc>
      </w:tr>
      <w:tr w:rsidR="005B1006" w14:paraId="2687CFDB" w14:textId="77777777" w:rsidTr="00A250AE">
        <w:trPr>
          <w:trHeight w:val="310"/>
        </w:trPr>
        <w:tc>
          <w:tcPr>
            <w:tcW w:w="3052" w:type="dxa"/>
            <w:tcBorders>
              <w:top w:val="single" w:sz="6" w:space="0" w:color="000000"/>
              <w:left w:val="single" w:sz="6" w:space="0" w:color="000000"/>
              <w:bottom w:val="single" w:sz="6" w:space="0" w:color="000000"/>
              <w:right w:val="single" w:sz="6" w:space="0" w:color="000000"/>
            </w:tcBorders>
          </w:tcPr>
          <w:p w14:paraId="452C5417" w14:textId="77777777" w:rsidR="005B1006" w:rsidRDefault="005B1006" w:rsidP="00A250AE">
            <w:pPr>
              <w:spacing w:after="0" w:line="259" w:lineRule="auto"/>
              <w:ind w:left="0" w:firstLine="0"/>
            </w:pPr>
            <w:r>
              <w:t xml:space="preserve">n </w:t>
            </w:r>
          </w:p>
        </w:tc>
        <w:tc>
          <w:tcPr>
            <w:tcW w:w="3260" w:type="dxa"/>
            <w:tcBorders>
              <w:top w:val="single" w:sz="6" w:space="0" w:color="000000"/>
              <w:left w:val="single" w:sz="6" w:space="0" w:color="000000"/>
              <w:bottom w:val="single" w:sz="6" w:space="0" w:color="000000"/>
              <w:right w:val="single" w:sz="6" w:space="0" w:color="000000"/>
            </w:tcBorders>
          </w:tcPr>
          <w:p w14:paraId="50A2D73D" w14:textId="77777777" w:rsidR="005B1006" w:rsidRDefault="005B1006" w:rsidP="00A250AE">
            <w:pPr>
              <w:spacing w:after="0" w:line="259" w:lineRule="auto"/>
              <w:ind w:left="61" w:firstLine="0"/>
              <w:jc w:val="center"/>
            </w:pPr>
            <w:r>
              <w:t xml:space="preserve">349 (8,5) </w:t>
            </w:r>
          </w:p>
        </w:tc>
        <w:tc>
          <w:tcPr>
            <w:tcW w:w="2429" w:type="dxa"/>
            <w:tcBorders>
              <w:top w:val="single" w:sz="6" w:space="0" w:color="000000"/>
              <w:left w:val="single" w:sz="6" w:space="0" w:color="000000"/>
              <w:bottom w:val="single" w:sz="6" w:space="0" w:color="000000"/>
              <w:right w:val="single" w:sz="6" w:space="0" w:color="000000"/>
            </w:tcBorders>
          </w:tcPr>
          <w:p w14:paraId="122813AF" w14:textId="77777777" w:rsidR="005B1006" w:rsidRDefault="005B1006" w:rsidP="00A250AE">
            <w:pPr>
              <w:spacing w:after="0" w:line="259" w:lineRule="auto"/>
              <w:ind w:left="59" w:firstLine="0"/>
              <w:jc w:val="center"/>
            </w:pPr>
            <w:r>
              <w:t xml:space="preserve">423 (10,3) </w:t>
            </w:r>
          </w:p>
        </w:tc>
      </w:tr>
      <w:tr w:rsidR="005B1006" w14:paraId="087A8BA7" w14:textId="77777777" w:rsidTr="00A250AE">
        <w:trPr>
          <w:trHeight w:val="308"/>
        </w:trPr>
        <w:tc>
          <w:tcPr>
            <w:tcW w:w="3052" w:type="dxa"/>
            <w:tcBorders>
              <w:top w:val="single" w:sz="6" w:space="0" w:color="000000"/>
              <w:left w:val="single" w:sz="6" w:space="0" w:color="000000"/>
              <w:bottom w:val="single" w:sz="6" w:space="0" w:color="000000"/>
              <w:right w:val="single" w:sz="6" w:space="0" w:color="000000"/>
            </w:tcBorders>
          </w:tcPr>
          <w:p w14:paraId="433DCFA3" w14:textId="77777777" w:rsidR="005B1006" w:rsidRDefault="005B1006" w:rsidP="00A250AE">
            <w:pPr>
              <w:spacing w:after="0" w:line="259" w:lineRule="auto"/>
              <w:ind w:left="0" w:firstLine="0"/>
            </w:pPr>
            <w:r>
              <w:t xml:space="preserve">RK (95% TI) </w:t>
            </w:r>
          </w:p>
        </w:tc>
        <w:tc>
          <w:tcPr>
            <w:tcW w:w="3260" w:type="dxa"/>
            <w:tcBorders>
              <w:top w:val="single" w:sz="6" w:space="0" w:color="000000"/>
              <w:left w:val="single" w:sz="6" w:space="0" w:color="000000"/>
              <w:bottom w:val="single" w:sz="6" w:space="0" w:color="000000"/>
              <w:right w:val="single" w:sz="6" w:space="0" w:color="000000"/>
            </w:tcBorders>
          </w:tcPr>
          <w:p w14:paraId="35537A34" w14:textId="77777777" w:rsidR="005B1006" w:rsidRDefault="005B1006" w:rsidP="00A250AE">
            <w:pPr>
              <w:spacing w:after="0" w:line="259" w:lineRule="auto"/>
              <w:ind w:left="61" w:firstLine="0"/>
              <w:jc w:val="center"/>
            </w:pPr>
            <w:r>
              <w:t xml:space="preserve">0,81 (0,71, 0,94) </w:t>
            </w:r>
          </w:p>
        </w:tc>
        <w:tc>
          <w:tcPr>
            <w:tcW w:w="2429" w:type="dxa"/>
            <w:tcBorders>
              <w:top w:val="single" w:sz="6" w:space="0" w:color="000000"/>
              <w:left w:val="single" w:sz="6" w:space="0" w:color="000000"/>
              <w:bottom w:val="single" w:sz="6" w:space="0" w:color="000000"/>
              <w:right w:val="single" w:sz="6" w:space="0" w:color="000000"/>
            </w:tcBorders>
          </w:tcPr>
          <w:p w14:paraId="5E83FC7F" w14:textId="77777777" w:rsidR="005B1006" w:rsidRDefault="005B1006" w:rsidP="00A250AE">
            <w:pPr>
              <w:spacing w:after="0" w:line="259" w:lineRule="auto"/>
              <w:ind w:left="113" w:firstLine="0"/>
              <w:jc w:val="center"/>
            </w:pPr>
            <w:r>
              <w:t xml:space="preserve"> </w:t>
            </w:r>
          </w:p>
        </w:tc>
      </w:tr>
      <w:tr w:rsidR="005B1006" w14:paraId="3B94D3EC" w14:textId="77777777" w:rsidTr="00A250AE">
        <w:trPr>
          <w:trHeight w:val="309"/>
        </w:trPr>
        <w:tc>
          <w:tcPr>
            <w:tcW w:w="3052" w:type="dxa"/>
            <w:tcBorders>
              <w:top w:val="single" w:sz="6" w:space="0" w:color="000000"/>
              <w:left w:val="single" w:sz="6" w:space="0" w:color="000000"/>
              <w:bottom w:val="single" w:sz="6" w:space="0" w:color="000000"/>
              <w:right w:val="single" w:sz="6" w:space="0" w:color="000000"/>
            </w:tcBorders>
          </w:tcPr>
          <w:p w14:paraId="604C2E47" w14:textId="77777777" w:rsidR="005B1006" w:rsidRDefault="005B1006" w:rsidP="00A250AE">
            <w:pPr>
              <w:spacing w:after="0" w:line="259" w:lineRule="auto"/>
              <w:ind w:left="0" w:firstLine="0"/>
            </w:pPr>
            <w:r>
              <w:t xml:space="preserve">p vērtība </w:t>
            </w:r>
          </w:p>
        </w:tc>
        <w:tc>
          <w:tcPr>
            <w:tcW w:w="3260" w:type="dxa"/>
            <w:tcBorders>
              <w:top w:val="single" w:sz="6" w:space="0" w:color="000000"/>
              <w:left w:val="single" w:sz="6" w:space="0" w:color="000000"/>
              <w:bottom w:val="single" w:sz="6" w:space="0" w:color="000000"/>
              <w:right w:val="single" w:sz="6" w:space="0" w:color="000000"/>
            </w:tcBorders>
          </w:tcPr>
          <w:p w14:paraId="659844DD" w14:textId="77777777" w:rsidR="005B1006" w:rsidRDefault="005B1006" w:rsidP="00A250AE">
            <w:pPr>
              <w:spacing w:after="0" w:line="259" w:lineRule="auto"/>
              <w:ind w:left="58" w:firstLine="0"/>
              <w:jc w:val="center"/>
            </w:pPr>
            <w:r>
              <w:t xml:space="preserve">0,004 (pārākumam) </w:t>
            </w:r>
          </w:p>
        </w:tc>
        <w:tc>
          <w:tcPr>
            <w:tcW w:w="2429" w:type="dxa"/>
            <w:tcBorders>
              <w:top w:val="single" w:sz="6" w:space="0" w:color="000000"/>
              <w:left w:val="single" w:sz="6" w:space="0" w:color="000000"/>
              <w:bottom w:val="single" w:sz="6" w:space="0" w:color="000000"/>
              <w:right w:val="single" w:sz="6" w:space="0" w:color="000000"/>
            </w:tcBorders>
          </w:tcPr>
          <w:p w14:paraId="1D96C1C8" w14:textId="77777777" w:rsidR="005B1006" w:rsidRDefault="005B1006" w:rsidP="00A250AE">
            <w:pPr>
              <w:spacing w:after="0" w:line="259" w:lineRule="auto"/>
              <w:ind w:left="113" w:firstLine="0"/>
              <w:jc w:val="center"/>
            </w:pPr>
            <w:r>
              <w:t xml:space="preserve"> </w:t>
            </w:r>
          </w:p>
        </w:tc>
      </w:tr>
      <w:tr w:rsidR="005B1006" w14:paraId="41725697" w14:textId="77777777" w:rsidTr="00A250AE">
        <w:trPr>
          <w:trHeight w:val="305"/>
        </w:trPr>
        <w:tc>
          <w:tcPr>
            <w:tcW w:w="3052" w:type="dxa"/>
            <w:tcBorders>
              <w:top w:val="single" w:sz="6" w:space="0" w:color="000000"/>
              <w:left w:val="single" w:sz="6" w:space="0" w:color="000000"/>
              <w:bottom w:val="single" w:sz="6" w:space="0" w:color="000000"/>
              <w:right w:val="single" w:sz="6" w:space="0" w:color="000000"/>
            </w:tcBorders>
            <w:shd w:val="clear" w:color="auto" w:fill="D9D9D9"/>
          </w:tcPr>
          <w:p w14:paraId="5792DC66" w14:textId="77777777" w:rsidR="005B1006" w:rsidRDefault="005B1006" w:rsidP="00A250AE">
            <w:pPr>
              <w:spacing w:after="0" w:line="259" w:lineRule="auto"/>
              <w:ind w:left="0" w:firstLine="0"/>
            </w:pPr>
            <w:r>
              <w:rPr>
                <w:b/>
              </w:rPr>
              <w:t xml:space="preserve">Būtiska asiņošana </w:t>
            </w:r>
            <w:r>
              <w:t>n (%)</w:t>
            </w:r>
            <w:r>
              <w:rPr>
                <w:b/>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381E22D3" w14:textId="77777777" w:rsidR="005B1006" w:rsidRDefault="005B1006" w:rsidP="00A250AE">
            <w:pPr>
              <w:spacing w:after="0" w:line="259" w:lineRule="auto"/>
              <w:ind w:left="114" w:firstLine="0"/>
              <w:jc w:val="center"/>
            </w:pPr>
            <w:r>
              <w:t xml:space="preserve"> </w:t>
            </w:r>
          </w:p>
        </w:tc>
        <w:tc>
          <w:tcPr>
            <w:tcW w:w="2429" w:type="dxa"/>
            <w:tcBorders>
              <w:top w:val="single" w:sz="6" w:space="0" w:color="000000"/>
              <w:left w:val="single" w:sz="6" w:space="0" w:color="000000"/>
              <w:bottom w:val="single" w:sz="6" w:space="0" w:color="000000"/>
              <w:right w:val="single" w:sz="6" w:space="0" w:color="000000"/>
            </w:tcBorders>
            <w:shd w:val="clear" w:color="auto" w:fill="D9D9D9"/>
          </w:tcPr>
          <w:p w14:paraId="772AD676" w14:textId="77777777" w:rsidR="005B1006" w:rsidRDefault="005B1006" w:rsidP="00A250AE">
            <w:pPr>
              <w:spacing w:after="0" w:line="259" w:lineRule="auto"/>
              <w:ind w:left="113" w:firstLine="0"/>
              <w:jc w:val="center"/>
            </w:pPr>
            <w:r>
              <w:t xml:space="preserve"> </w:t>
            </w:r>
          </w:p>
        </w:tc>
      </w:tr>
      <w:tr w:rsidR="005B1006" w14:paraId="32B185E6" w14:textId="77777777" w:rsidTr="00A250AE">
        <w:trPr>
          <w:trHeight w:val="310"/>
        </w:trPr>
        <w:tc>
          <w:tcPr>
            <w:tcW w:w="3052" w:type="dxa"/>
            <w:tcBorders>
              <w:top w:val="single" w:sz="6" w:space="0" w:color="000000"/>
              <w:left w:val="single" w:sz="6" w:space="0" w:color="000000"/>
              <w:bottom w:val="single" w:sz="6" w:space="0" w:color="000000"/>
              <w:right w:val="single" w:sz="6" w:space="0" w:color="000000"/>
            </w:tcBorders>
          </w:tcPr>
          <w:p w14:paraId="5A70C415" w14:textId="77777777" w:rsidR="005B1006" w:rsidRDefault="005B1006" w:rsidP="00A250AE">
            <w:pPr>
              <w:spacing w:after="0" w:line="259" w:lineRule="auto"/>
              <w:ind w:left="0" w:firstLine="0"/>
            </w:pPr>
            <w:r>
              <w:t xml:space="preserve">n </w:t>
            </w:r>
          </w:p>
        </w:tc>
        <w:tc>
          <w:tcPr>
            <w:tcW w:w="3260" w:type="dxa"/>
            <w:tcBorders>
              <w:top w:val="single" w:sz="6" w:space="0" w:color="000000"/>
              <w:left w:val="single" w:sz="6" w:space="0" w:color="000000"/>
              <w:bottom w:val="single" w:sz="6" w:space="0" w:color="000000"/>
              <w:right w:val="single" w:sz="6" w:space="0" w:color="000000"/>
            </w:tcBorders>
          </w:tcPr>
          <w:p w14:paraId="331F42AE" w14:textId="77777777" w:rsidR="005B1006" w:rsidRDefault="005B1006" w:rsidP="00A250AE">
            <w:pPr>
              <w:spacing w:after="0" w:line="259" w:lineRule="auto"/>
              <w:ind w:left="61" w:firstLine="0"/>
              <w:jc w:val="center"/>
            </w:pPr>
            <w:r>
              <w:t xml:space="preserve">56 (1,4) </w:t>
            </w:r>
          </w:p>
        </w:tc>
        <w:tc>
          <w:tcPr>
            <w:tcW w:w="2429" w:type="dxa"/>
            <w:tcBorders>
              <w:top w:val="single" w:sz="6" w:space="0" w:color="000000"/>
              <w:left w:val="single" w:sz="6" w:space="0" w:color="000000"/>
              <w:bottom w:val="single" w:sz="6" w:space="0" w:color="000000"/>
              <w:right w:val="single" w:sz="6" w:space="0" w:color="000000"/>
            </w:tcBorders>
          </w:tcPr>
          <w:p w14:paraId="514DDA03" w14:textId="77777777" w:rsidR="005B1006" w:rsidRDefault="005B1006" w:rsidP="00A250AE">
            <w:pPr>
              <w:spacing w:after="0" w:line="259" w:lineRule="auto"/>
              <w:ind w:left="59" w:firstLine="0"/>
              <w:jc w:val="center"/>
            </w:pPr>
            <w:r>
              <w:t xml:space="preserve">66 (1,6) </w:t>
            </w:r>
          </w:p>
        </w:tc>
      </w:tr>
      <w:tr w:rsidR="005B1006" w14:paraId="7A7CEE51" w14:textId="77777777" w:rsidTr="00A250AE">
        <w:trPr>
          <w:trHeight w:val="307"/>
        </w:trPr>
        <w:tc>
          <w:tcPr>
            <w:tcW w:w="3052" w:type="dxa"/>
            <w:tcBorders>
              <w:top w:val="single" w:sz="6" w:space="0" w:color="000000"/>
              <w:left w:val="single" w:sz="6" w:space="0" w:color="000000"/>
              <w:bottom w:val="single" w:sz="6" w:space="0" w:color="000000"/>
              <w:right w:val="single" w:sz="6" w:space="0" w:color="000000"/>
            </w:tcBorders>
          </w:tcPr>
          <w:p w14:paraId="5F6A961B" w14:textId="77777777" w:rsidR="005B1006" w:rsidRDefault="005B1006" w:rsidP="00A250AE">
            <w:pPr>
              <w:spacing w:after="0" w:line="259" w:lineRule="auto"/>
              <w:ind w:left="0" w:firstLine="0"/>
            </w:pPr>
            <w:r>
              <w:t xml:space="preserve">RK (95% TI) </w:t>
            </w:r>
          </w:p>
        </w:tc>
        <w:tc>
          <w:tcPr>
            <w:tcW w:w="3260" w:type="dxa"/>
            <w:tcBorders>
              <w:top w:val="single" w:sz="6" w:space="0" w:color="000000"/>
              <w:left w:val="single" w:sz="6" w:space="0" w:color="000000"/>
              <w:bottom w:val="single" w:sz="6" w:space="0" w:color="000000"/>
              <w:right w:val="single" w:sz="6" w:space="0" w:color="000000"/>
            </w:tcBorders>
          </w:tcPr>
          <w:p w14:paraId="170D6393" w14:textId="77777777" w:rsidR="005B1006" w:rsidRDefault="005B1006" w:rsidP="00A250AE">
            <w:pPr>
              <w:spacing w:after="0" w:line="259" w:lineRule="auto"/>
              <w:ind w:left="61" w:firstLine="0"/>
              <w:jc w:val="center"/>
            </w:pPr>
            <w:r>
              <w:t xml:space="preserve">0,84 (0,59, 1,21) </w:t>
            </w:r>
          </w:p>
        </w:tc>
        <w:tc>
          <w:tcPr>
            <w:tcW w:w="2429" w:type="dxa"/>
            <w:tcBorders>
              <w:top w:val="single" w:sz="6" w:space="0" w:color="000000"/>
              <w:left w:val="single" w:sz="6" w:space="0" w:color="000000"/>
              <w:bottom w:val="single" w:sz="6" w:space="0" w:color="000000"/>
              <w:right w:val="single" w:sz="6" w:space="0" w:color="000000"/>
            </w:tcBorders>
          </w:tcPr>
          <w:p w14:paraId="77B1C91A" w14:textId="77777777" w:rsidR="005B1006" w:rsidRDefault="005B1006" w:rsidP="00A250AE">
            <w:pPr>
              <w:spacing w:after="0" w:line="259" w:lineRule="auto"/>
              <w:ind w:left="113" w:firstLine="0"/>
              <w:jc w:val="center"/>
            </w:pPr>
            <w:r>
              <w:t xml:space="preserve"> </w:t>
            </w:r>
          </w:p>
        </w:tc>
      </w:tr>
      <w:tr w:rsidR="005B1006" w14:paraId="4D884D31" w14:textId="77777777" w:rsidTr="00A250AE">
        <w:trPr>
          <w:trHeight w:val="308"/>
        </w:trPr>
        <w:tc>
          <w:tcPr>
            <w:tcW w:w="3052" w:type="dxa"/>
            <w:tcBorders>
              <w:top w:val="single" w:sz="6" w:space="0" w:color="000000"/>
              <w:left w:val="single" w:sz="6" w:space="0" w:color="000000"/>
              <w:bottom w:val="single" w:sz="6" w:space="0" w:color="000000"/>
              <w:right w:val="single" w:sz="6" w:space="0" w:color="000000"/>
            </w:tcBorders>
          </w:tcPr>
          <w:p w14:paraId="25CF8DA4" w14:textId="77777777" w:rsidR="005B1006" w:rsidRDefault="005B1006" w:rsidP="00A250AE">
            <w:pPr>
              <w:spacing w:after="0" w:line="259" w:lineRule="auto"/>
              <w:ind w:left="337" w:firstLine="0"/>
            </w:pPr>
            <w:r>
              <w:t xml:space="preserve">IKA letāla </w:t>
            </w:r>
          </w:p>
        </w:tc>
        <w:tc>
          <w:tcPr>
            <w:tcW w:w="3260" w:type="dxa"/>
            <w:tcBorders>
              <w:top w:val="single" w:sz="6" w:space="0" w:color="000000"/>
              <w:left w:val="single" w:sz="6" w:space="0" w:color="000000"/>
              <w:bottom w:val="single" w:sz="6" w:space="0" w:color="000000"/>
              <w:right w:val="single" w:sz="6" w:space="0" w:color="000000"/>
            </w:tcBorders>
          </w:tcPr>
          <w:p w14:paraId="26799BEE" w14:textId="77777777" w:rsidR="005B1006" w:rsidRDefault="005B1006" w:rsidP="00A250AE">
            <w:pPr>
              <w:spacing w:after="0" w:line="259" w:lineRule="auto"/>
              <w:ind w:left="59" w:firstLine="0"/>
              <w:jc w:val="center"/>
            </w:pPr>
            <w:r>
              <w:t xml:space="preserve">0 </w:t>
            </w:r>
          </w:p>
        </w:tc>
        <w:tc>
          <w:tcPr>
            <w:tcW w:w="2429" w:type="dxa"/>
            <w:tcBorders>
              <w:top w:val="single" w:sz="6" w:space="0" w:color="000000"/>
              <w:left w:val="single" w:sz="6" w:space="0" w:color="000000"/>
              <w:bottom w:val="single" w:sz="6" w:space="0" w:color="000000"/>
              <w:right w:val="single" w:sz="6" w:space="0" w:color="000000"/>
            </w:tcBorders>
          </w:tcPr>
          <w:p w14:paraId="225FBAA7" w14:textId="77777777" w:rsidR="005B1006" w:rsidRDefault="005B1006" w:rsidP="00A250AE">
            <w:pPr>
              <w:spacing w:after="0" w:line="259" w:lineRule="auto"/>
              <w:ind w:left="60" w:firstLine="0"/>
              <w:jc w:val="center"/>
            </w:pPr>
            <w:r>
              <w:t xml:space="preserve">6 (0,1) </w:t>
            </w:r>
          </w:p>
        </w:tc>
      </w:tr>
      <w:tr w:rsidR="005B1006" w14:paraId="2F292E89" w14:textId="77777777" w:rsidTr="00A250AE">
        <w:trPr>
          <w:trHeight w:val="310"/>
        </w:trPr>
        <w:tc>
          <w:tcPr>
            <w:tcW w:w="3052" w:type="dxa"/>
            <w:tcBorders>
              <w:top w:val="single" w:sz="6" w:space="0" w:color="000000"/>
              <w:left w:val="single" w:sz="6" w:space="0" w:color="000000"/>
              <w:bottom w:val="single" w:sz="6" w:space="0" w:color="000000"/>
              <w:right w:val="single" w:sz="6" w:space="0" w:color="000000"/>
            </w:tcBorders>
          </w:tcPr>
          <w:p w14:paraId="0106374F" w14:textId="77777777" w:rsidR="005B1006" w:rsidRDefault="005B1006" w:rsidP="00A250AE">
            <w:pPr>
              <w:spacing w:after="0" w:line="259" w:lineRule="auto"/>
              <w:ind w:left="337" w:firstLine="0"/>
            </w:pPr>
            <w:r>
              <w:t xml:space="preserve">IKA neletāla </w:t>
            </w:r>
          </w:p>
        </w:tc>
        <w:tc>
          <w:tcPr>
            <w:tcW w:w="3260" w:type="dxa"/>
            <w:tcBorders>
              <w:top w:val="single" w:sz="6" w:space="0" w:color="000000"/>
              <w:left w:val="single" w:sz="6" w:space="0" w:color="000000"/>
              <w:bottom w:val="single" w:sz="6" w:space="0" w:color="000000"/>
              <w:right w:val="single" w:sz="6" w:space="0" w:color="000000"/>
            </w:tcBorders>
          </w:tcPr>
          <w:p w14:paraId="66847164" w14:textId="77777777" w:rsidR="005B1006" w:rsidRDefault="005B1006" w:rsidP="00A250AE">
            <w:pPr>
              <w:spacing w:after="0" w:line="259" w:lineRule="auto"/>
              <w:ind w:left="60" w:firstLine="0"/>
              <w:jc w:val="center"/>
            </w:pPr>
            <w:r>
              <w:t xml:space="preserve">5 (0,1) </w:t>
            </w:r>
          </w:p>
        </w:tc>
        <w:tc>
          <w:tcPr>
            <w:tcW w:w="2429" w:type="dxa"/>
            <w:tcBorders>
              <w:top w:val="single" w:sz="6" w:space="0" w:color="000000"/>
              <w:left w:val="single" w:sz="6" w:space="0" w:color="000000"/>
              <w:bottom w:val="single" w:sz="6" w:space="0" w:color="000000"/>
              <w:right w:val="single" w:sz="6" w:space="0" w:color="000000"/>
            </w:tcBorders>
          </w:tcPr>
          <w:p w14:paraId="01FF032B" w14:textId="77777777" w:rsidR="005B1006" w:rsidRDefault="005B1006" w:rsidP="00A250AE">
            <w:pPr>
              <w:spacing w:after="0" w:line="259" w:lineRule="auto"/>
              <w:ind w:left="59" w:firstLine="0"/>
              <w:jc w:val="center"/>
            </w:pPr>
            <w:r>
              <w:t xml:space="preserve">12 (0,3) </w:t>
            </w:r>
          </w:p>
        </w:tc>
      </w:tr>
      <w:tr w:rsidR="005B1006" w14:paraId="2E8524C1" w14:textId="77777777" w:rsidTr="00A250AE">
        <w:trPr>
          <w:trHeight w:val="304"/>
        </w:trPr>
        <w:tc>
          <w:tcPr>
            <w:tcW w:w="3052" w:type="dxa"/>
            <w:tcBorders>
              <w:top w:val="single" w:sz="6" w:space="0" w:color="000000"/>
              <w:left w:val="single" w:sz="6" w:space="0" w:color="000000"/>
              <w:bottom w:val="single" w:sz="6" w:space="0" w:color="000000"/>
              <w:right w:val="single" w:sz="6" w:space="0" w:color="000000"/>
            </w:tcBorders>
            <w:shd w:val="clear" w:color="auto" w:fill="D9D9D9"/>
          </w:tcPr>
          <w:p w14:paraId="59EB142A" w14:textId="77777777" w:rsidR="005B1006" w:rsidRDefault="005B1006" w:rsidP="00A250AE">
            <w:pPr>
              <w:spacing w:after="0" w:line="259" w:lineRule="auto"/>
              <w:ind w:left="0" w:firstLine="0"/>
            </w:pPr>
            <w:r>
              <w:rPr>
                <w:b/>
              </w:rPr>
              <w:t xml:space="preserve">KNMB asiņošana </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2A716A4C" w14:textId="77777777" w:rsidR="005B1006" w:rsidRDefault="005B1006" w:rsidP="00A250AE">
            <w:pPr>
              <w:spacing w:after="0" w:line="259" w:lineRule="auto"/>
              <w:ind w:left="114" w:firstLine="0"/>
              <w:jc w:val="center"/>
            </w:pPr>
            <w:r>
              <w:t xml:space="preserve"> </w:t>
            </w:r>
          </w:p>
        </w:tc>
        <w:tc>
          <w:tcPr>
            <w:tcW w:w="2429" w:type="dxa"/>
            <w:tcBorders>
              <w:top w:val="single" w:sz="6" w:space="0" w:color="000000"/>
              <w:left w:val="single" w:sz="6" w:space="0" w:color="000000"/>
              <w:bottom w:val="single" w:sz="6" w:space="0" w:color="000000"/>
              <w:right w:val="single" w:sz="6" w:space="0" w:color="000000"/>
            </w:tcBorders>
            <w:shd w:val="clear" w:color="auto" w:fill="D9D9D9"/>
          </w:tcPr>
          <w:p w14:paraId="5C07B3AF" w14:textId="77777777" w:rsidR="005B1006" w:rsidRDefault="005B1006" w:rsidP="00A250AE">
            <w:pPr>
              <w:spacing w:after="0" w:line="259" w:lineRule="auto"/>
              <w:ind w:left="113" w:firstLine="0"/>
              <w:jc w:val="center"/>
            </w:pPr>
            <w:r>
              <w:t xml:space="preserve"> </w:t>
            </w:r>
          </w:p>
        </w:tc>
      </w:tr>
      <w:tr w:rsidR="005B1006" w14:paraId="2D939E29" w14:textId="77777777" w:rsidTr="00A250AE">
        <w:trPr>
          <w:trHeight w:val="310"/>
        </w:trPr>
        <w:tc>
          <w:tcPr>
            <w:tcW w:w="3052" w:type="dxa"/>
            <w:tcBorders>
              <w:top w:val="single" w:sz="6" w:space="0" w:color="000000"/>
              <w:left w:val="single" w:sz="6" w:space="0" w:color="000000"/>
              <w:bottom w:val="single" w:sz="6" w:space="0" w:color="000000"/>
              <w:right w:val="single" w:sz="6" w:space="0" w:color="000000"/>
            </w:tcBorders>
          </w:tcPr>
          <w:p w14:paraId="44DFD455" w14:textId="77777777" w:rsidR="005B1006" w:rsidRDefault="005B1006" w:rsidP="00A250AE">
            <w:pPr>
              <w:spacing w:after="0" w:line="259" w:lineRule="auto"/>
              <w:ind w:left="0" w:firstLine="0"/>
            </w:pPr>
            <w:r>
              <w:t xml:space="preserve">n </w:t>
            </w:r>
          </w:p>
        </w:tc>
        <w:tc>
          <w:tcPr>
            <w:tcW w:w="3260" w:type="dxa"/>
            <w:tcBorders>
              <w:top w:val="single" w:sz="6" w:space="0" w:color="000000"/>
              <w:left w:val="single" w:sz="6" w:space="0" w:color="000000"/>
              <w:bottom w:val="single" w:sz="6" w:space="0" w:color="000000"/>
              <w:right w:val="single" w:sz="6" w:space="0" w:color="000000"/>
            </w:tcBorders>
          </w:tcPr>
          <w:p w14:paraId="59E1A103" w14:textId="77777777" w:rsidR="005B1006" w:rsidRDefault="005B1006" w:rsidP="00A250AE">
            <w:pPr>
              <w:spacing w:after="0" w:line="259" w:lineRule="auto"/>
              <w:ind w:left="61" w:firstLine="0"/>
              <w:jc w:val="center"/>
            </w:pPr>
            <w:r>
              <w:t xml:space="preserve">298 (7,2) </w:t>
            </w:r>
          </w:p>
        </w:tc>
        <w:tc>
          <w:tcPr>
            <w:tcW w:w="2429" w:type="dxa"/>
            <w:tcBorders>
              <w:top w:val="single" w:sz="6" w:space="0" w:color="000000"/>
              <w:left w:val="single" w:sz="6" w:space="0" w:color="000000"/>
              <w:bottom w:val="single" w:sz="6" w:space="0" w:color="000000"/>
              <w:right w:val="single" w:sz="6" w:space="0" w:color="000000"/>
            </w:tcBorders>
          </w:tcPr>
          <w:p w14:paraId="3FEACBA7" w14:textId="77777777" w:rsidR="005B1006" w:rsidRDefault="005B1006" w:rsidP="00A250AE">
            <w:pPr>
              <w:spacing w:after="0" w:line="259" w:lineRule="auto"/>
              <w:ind w:left="59" w:firstLine="0"/>
              <w:jc w:val="center"/>
            </w:pPr>
            <w:r>
              <w:t xml:space="preserve">368 (8,9) </w:t>
            </w:r>
          </w:p>
        </w:tc>
      </w:tr>
      <w:tr w:rsidR="005B1006" w14:paraId="24F7B131" w14:textId="77777777" w:rsidTr="00A250AE">
        <w:trPr>
          <w:trHeight w:val="310"/>
        </w:trPr>
        <w:tc>
          <w:tcPr>
            <w:tcW w:w="3052" w:type="dxa"/>
            <w:tcBorders>
              <w:top w:val="single" w:sz="6" w:space="0" w:color="000000"/>
              <w:left w:val="single" w:sz="6" w:space="0" w:color="000000"/>
              <w:bottom w:val="single" w:sz="6" w:space="0" w:color="000000"/>
              <w:right w:val="single" w:sz="6" w:space="0" w:color="000000"/>
            </w:tcBorders>
          </w:tcPr>
          <w:p w14:paraId="1327523B" w14:textId="77777777" w:rsidR="005B1006" w:rsidRDefault="005B1006" w:rsidP="00A250AE">
            <w:pPr>
              <w:spacing w:after="0" w:line="259" w:lineRule="auto"/>
              <w:ind w:left="0" w:firstLine="0"/>
            </w:pPr>
            <w:r>
              <w:t xml:space="preserve">RK (95% TI) </w:t>
            </w:r>
          </w:p>
        </w:tc>
        <w:tc>
          <w:tcPr>
            <w:tcW w:w="3260" w:type="dxa"/>
            <w:tcBorders>
              <w:top w:val="single" w:sz="6" w:space="0" w:color="000000"/>
              <w:left w:val="single" w:sz="6" w:space="0" w:color="000000"/>
              <w:bottom w:val="single" w:sz="6" w:space="0" w:color="000000"/>
              <w:right w:val="single" w:sz="6" w:space="0" w:color="000000"/>
            </w:tcBorders>
          </w:tcPr>
          <w:p w14:paraId="668A51E9" w14:textId="77777777" w:rsidR="005B1006" w:rsidRDefault="005B1006" w:rsidP="00A250AE">
            <w:pPr>
              <w:spacing w:after="0" w:line="259" w:lineRule="auto"/>
              <w:ind w:left="61" w:firstLine="0"/>
              <w:jc w:val="center"/>
            </w:pPr>
            <w:r>
              <w:t xml:space="preserve">0,80 (0,68, 0,93) </w:t>
            </w:r>
          </w:p>
        </w:tc>
        <w:tc>
          <w:tcPr>
            <w:tcW w:w="2429" w:type="dxa"/>
            <w:tcBorders>
              <w:top w:val="single" w:sz="6" w:space="0" w:color="000000"/>
              <w:left w:val="single" w:sz="6" w:space="0" w:color="000000"/>
              <w:bottom w:val="single" w:sz="6" w:space="0" w:color="000000"/>
              <w:right w:val="single" w:sz="6" w:space="0" w:color="000000"/>
            </w:tcBorders>
          </w:tcPr>
          <w:p w14:paraId="6375457D" w14:textId="77777777" w:rsidR="005B1006" w:rsidRDefault="005B1006" w:rsidP="00A250AE">
            <w:pPr>
              <w:spacing w:after="0" w:line="259" w:lineRule="auto"/>
              <w:ind w:left="113" w:firstLine="0"/>
              <w:jc w:val="center"/>
            </w:pPr>
            <w:r>
              <w:t xml:space="preserve"> </w:t>
            </w:r>
          </w:p>
        </w:tc>
      </w:tr>
      <w:tr w:rsidR="005B1006" w14:paraId="22219CD3" w14:textId="77777777" w:rsidTr="00A250AE">
        <w:trPr>
          <w:trHeight w:val="304"/>
        </w:trPr>
        <w:tc>
          <w:tcPr>
            <w:tcW w:w="3052" w:type="dxa"/>
            <w:tcBorders>
              <w:top w:val="single" w:sz="6" w:space="0" w:color="000000"/>
              <w:left w:val="single" w:sz="6" w:space="0" w:color="000000"/>
              <w:bottom w:val="single" w:sz="6" w:space="0" w:color="000000"/>
              <w:right w:val="single" w:sz="6" w:space="0" w:color="000000"/>
            </w:tcBorders>
            <w:shd w:val="clear" w:color="auto" w:fill="D9D9D9"/>
          </w:tcPr>
          <w:p w14:paraId="4D55640A" w14:textId="77777777" w:rsidR="005B1006" w:rsidRDefault="005B1006" w:rsidP="00A250AE">
            <w:pPr>
              <w:spacing w:after="0" w:line="259" w:lineRule="auto"/>
              <w:ind w:left="0" w:firstLine="0"/>
            </w:pPr>
            <w:r>
              <w:rPr>
                <w:b/>
              </w:rPr>
              <w:t xml:space="preserve">Visas asiņošanas </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FEBB929" w14:textId="77777777" w:rsidR="005B1006" w:rsidRDefault="005B1006" w:rsidP="00A250AE">
            <w:pPr>
              <w:spacing w:after="0" w:line="259" w:lineRule="auto"/>
              <w:ind w:left="114" w:firstLine="0"/>
              <w:jc w:val="center"/>
            </w:pPr>
            <w:r>
              <w:t xml:space="preserve"> </w:t>
            </w:r>
          </w:p>
        </w:tc>
        <w:tc>
          <w:tcPr>
            <w:tcW w:w="2429" w:type="dxa"/>
            <w:tcBorders>
              <w:top w:val="single" w:sz="6" w:space="0" w:color="000000"/>
              <w:left w:val="single" w:sz="6" w:space="0" w:color="000000"/>
              <w:bottom w:val="single" w:sz="6" w:space="0" w:color="000000"/>
              <w:right w:val="single" w:sz="6" w:space="0" w:color="000000"/>
            </w:tcBorders>
            <w:shd w:val="clear" w:color="auto" w:fill="D9D9D9"/>
          </w:tcPr>
          <w:p w14:paraId="712B3874" w14:textId="77777777" w:rsidR="005B1006" w:rsidRDefault="005B1006" w:rsidP="00A250AE">
            <w:pPr>
              <w:spacing w:after="0" w:line="259" w:lineRule="auto"/>
              <w:ind w:left="113" w:firstLine="0"/>
              <w:jc w:val="center"/>
            </w:pPr>
            <w:r>
              <w:t xml:space="preserve"> </w:t>
            </w:r>
          </w:p>
        </w:tc>
      </w:tr>
      <w:tr w:rsidR="005B1006" w14:paraId="1697B15D" w14:textId="77777777" w:rsidTr="00A250AE">
        <w:trPr>
          <w:trHeight w:val="310"/>
        </w:trPr>
        <w:tc>
          <w:tcPr>
            <w:tcW w:w="3052" w:type="dxa"/>
            <w:tcBorders>
              <w:top w:val="single" w:sz="6" w:space="0" w:color="000000"/>
              <w:left w:val="single" w:sz="6" w:space="0" w:color="000000"/>
              <w:bottom w:val="single" w:sz="6" w:space="0" w:color="000000"/>
              <w:right w:val="single" w:sz="6" w:space="0" w:color="000000"/>
            </w:tcBorders>
          </w:tcPr>
          <w:p w14:paraId="7E8A06AB" w14:textId="77777777" w:rsidR="005B1006" w:rsidRDefault="005B1006" w:rsidP="00A250AE">
            <w:pPr>
              <w:spacing w:after="0" w:line="259" w:lineRule="auto"/>
              <w:ind w:left="0" w:firstLine="0"/>
            </w:pPr>
            <w:r>
              <w:t xml:space="preserve">n </w:t>
            </w:r>
          </w:p>
        </w:tc>
        <w:tc>
          <w:tcPr>
            <w:tcW w:w="3260" w:type="dxa"/>
            <w:tcBorders>
              <w:top w:val="single" w:sz="6" w:space="0" w:color="000000"/>
              <w:left w:val="single" w:sz="6" w:space="0" w:color="000000"/>
              <w:bottom w:val="single" w:sz="6" w:space="0" w:color="000000"/>
              <w:right w:val="single" w:sz="6" w:space="0" w:color="000000"/>
            </w:tcBorders>
          </w:tcPr>
          <w:p w14:paraId="102EBAEC" w14:textId="77777777" w:rsidR="005B1006" w:rsidRDefault="005B1006" w:rsidP="00A250AE">
            <w:pPr>
              <w:spacing w:after="0" w:line="259" w:lineRule="auto"/>
              <w:ind w:left="61" w:firstLine="0"/>
              <w:jc w:val="center"/>
            </w:pPr>
            <w:r>
              <w:t xml:space="preserve">895 (21,7) </w:t>
            </w:r>
          </w:p>
        </w:tc>
        <w:tc>
          <w:tcPr>
            <w:tcW w:w="2429" w:type="dxa"/>
            <w:tcBorders>
              <w:top w:val="single" w:sz="6" w:space="0" w:color="000000"/>
              <w:left w:val="single" w:sz="6" w:space="0" w:color="000000"/>
              <w:bottom w:val="single" w:sz="6" w:space="0" w:color="000000"/>
              <w:right w:val="single" w:sz="6" w:space="0" w:color="000000"/>
            </w:tcBorders>
          </w:tcPr>
          <w:p w14:paraId="6BC59951" w14:textId="77777777" w:rsidR="005B1006" w:rsidRDefault="005B1006" w:rsidP="00A250AE">
            <w:pPr>
              <w:spacing w:after="0" w:line="259" w:lineRule="auto"/>
              <w:ind w:left="60" w:firstLine="0"/>
              <w:jc w:val="center"/>
            </w:pPr>
            <w:r>
              <w:t xml:space="preserve">1056 (25,6) </w:t>
            </w:r>
          </w:p>
        </w:tc>
      </w:tr>
      <w:tr w:rsidR="005B1006" w14:paraId="1DC1D6C1" w14:textId="77777777" w:rsidTr="00A250AE">
        <w:trPr>
          <w:trHeight w:val="307"/>
        </w:trPr>
        <w:tc>
          <w:tcPr>
            <w:tcW w:w="3052" w:type="dxa"/>
            <w:tcBorders>
              <w:top w:val="single" w:sz="6" w:space="0" w:color="000000"/>
              <w:left w:val="single" w:sz="6" w:space="0" w:color="000000"/>
              <w:bottom w:val="single" w:sz="6" w:space="0" w:color="000000"/>
              <w:right w:val="single" w:sz="6" w:space="0" w:color="000000"/>
            </w:tcBorders>
          </w:tcPr>
          <w:p w14:paraId="547BF6DB" w14:textId="77777777" w:rsidR="005B1006" w:rsidRDefault="005B1006" w:rsidP="00A250AE">
            <w:pPr>
              <w:spacing w:after="0" w:line="259" w:lineRule="auto"/>
              <w:ind w:left="0" w:firstLine="0"/>
            </w:pPr>
            <w:r>
              <w:t xml:space="preserve">RK (95% TI) </w:t>
            </w:r>
          </w:p>
        </w:tc>
        <w:tc>
          <w:tcPr>
            <w:tcW w:w="3260" w:type="dxa"/>
            <w:tcBorders>
              <w:top w:val="single" w:sz="6" w:space="0" w:color="000000"/>
              <w:left w:val="single" w:sz="6" w:space="0" w:color="000000"/>
              <w:bottom w:val="single" w:sz="6" w:space="0" w:color="000000"/>
              <w:right w:val="single" w:sz="6" w:space="0" w:color="000000"/>
            </w:tcBorders>
          </w:tcPr>
          <w:p w14:paraId="32BA00A2" w14:textId="77777777" w:rsidR="005B1006" w:rsidRDefault="005B1006" w:rsidP="00A250AE">
            <w:pPr>
              <w:spacing w:after="0" w:line="259" w:lineRule="auto"/>
              <w:ind w:left="61" w:firstLine="0"/>
              <w:jc w:val="center"/>
            </w:pPr>
            <w:r>
              <w:t xml:space="preserve">0,82 (0,75, 0,90) </w:t>
            </w:r>
          </w:p>
        </w:tc>
        <w:tc>
          <w:tcPr>
            <w:tcW w:w="2429" w:type="dxa"/>
            <w:tcBorders>
              <w:top w:val="single" w:sz="6" w:space="0" w:color="000000"/>
              <w:left w:val="single" w:sz="6" w:space="0" w:color="000000"/>
              <w:bottom w:val="single" w:sz="6" w:space="0" w:color="000000"/>
              <w:right w:val="single" w:sz="6" w:space="0" w:color="000000"/>
            </w:tcBorders>
          </w:tcPr>
          <w:p w14:paraId="24B70EDC" w14:textId="77777777" w:rsidR="005B1006" w:rsidRDefault="005B1006" w:rsidP="00A250AE">
            <w:pPr>
              <w:spacing w:after="0" w:line="259" w:lineRule="auto"/>
              <w:ind w:left="113" w:firstLine="0"/>
              <w:jc w:val="center"/>
            </w:pPr>
            <w:r>
              <w:t xml:space="preserve"> </w:t>
            </w:r>
          </w:p>
        </w:tc>
      </w:tr>
    </w:tbl>
    <w:p w14:paraId="305872DF" w14:textId="77777777" w:rsidR="005B1006" w:rsidRDefault="005B1006" w:rsidP="005B1006">
      <w:pPr>
        <w:spacing w:after="48"/>
        <w:ind w:left="-10" w:right="355"/>
      </w:pPr>
      <w:r>
        <w:t xml:space="preserve">Saīsinājumi: IKA = intrakraniāla asiņošana; RK = riska koeficients, salīdzinot ar varfarīnu; TI = ticamības intervāls; N = pacientu skaits drošuma populācijā; n = notikumu skaits; KNMB = klīniski nozīmīga mazāk būtiska. </w:t>
      </w:r>
    </w:p>
    <w:p w14:paraId="4C3B96CC" w14:textId="77777777" w:rsidR="005B1006" w:rsidRDefault="005B1006" w:rsidP="005B1006">
      <w:pPr>
        <w:spacing w:line="326" w:lineRule="auto"/>
        <w:ind w:left="-10" w:right="144"/>
      </w:pPr>
      <w:r>
        <w:rPr>
          <w:vertAlign w:val="superscript"/>
        </w:rPr>
        <w:t>a</w:t>
      </w:r>
      <w:r>
        <w:t xml:space="preserve"> </w:t>
      </w:r>
      <w:r>
        <w:tab/>
        <w:t xml:space="preserve">Ārstēšanas laika posms: laiks no pētījuma zāļu pirmās devas līdz pēdējai devai plus 3 dienas. </w:t>
      </w:r>
      <w:r>
        <w:rPr>
          <w:vertAlign w:val="superscript"/>
        </w:rPr>
        <w:t>b</w:t>
      </w:r>
      <w:r>
        <w:t xml:space="preserve"> </w:t>
      </w:r>
      <w:r>
        <w:tab/>
        <w:t xml:space="preserve">Primārais drošuma mērķa kritērijs: klīniski nozīmīga asiņošana (būtiskas un klīniski nozīmīgas mazāk būtiskas asiņošanas saliktais kritērijs). </w:t>
      </w:r>
    </w:p>
    <w:p w14:paraId="2514FC62" w14:textId="77777777" w:rsidR="005B1006" w:rsidRDefault="005B1006" w:rsidP="005B1006">
      <w:pPr>
        <w:spacing w:after="47" w:line="259" w:lineRule="auto"/>
        <w:ind w:firstLine="0"/>
      </w:pPr>
      <w:r>
        <w:t xml:space="preserve"> </w:t>
      </w:r>
    </w:p>
    <w:p w14:paraId="31230123" w14:textId="77777777" w:rsidR="005B1006" w:rsidRDefault="005B1006" w:rsidP="005B1006">
      <w:pPr>
        <w:spacing w:line="320" w:lineRule="auto"/>
        <w:ind w:left="-10" w:right="8"/>
      </w:pPr>
      <w:r>
        <w:t xml:space="preserve">Atbilstīgi apakšgrupu analīžu rezultātiem pētījumā „Hokusai-VTE” pacientiem, kam ķermeņa masas ≤60 kg, vidēji smagu nieru darbības traucējumu vai vienlaikus lietotu P-gp inhibitoru dēļ deva bija samazināta līdz 30 mg, 58 (7,9%) pacientiem, kas lietoja edoksabāna samazināto devu 30 mg, un 92 (12,8%) pacientiem, kas lietoja varfarīnu, novēroja būtiskas asiņošanas vai KNMB notikumu [RK (95%): 0,62 (0,44, 0,86)]. </w:t>
      </w:r>
    </w:p>
    <w:p w14:paraId="26EF64C6" w14:textId="77777777" w:rsidR="005B1006" w:rsidRDefault="005B1006" w:rsidP="005B1006">
      <w:pPr>
        <w:spacing w:after="47" w:line="259" w:lineRule="auto"/>
        <w:ind w:left="3" w:firstLine="0"/>
      </w:pPr>
      <w:r>
        <w:t xml:space="preserve"> </w:t>
      </w:r>
    </w:p>
    <w:p w14:paraId="48F9B73A" w14:textId="77777777" w:rsidR="005B1006" w:rsidRDefault="005B1006" w:rsidP="005B1006">
      <w:pPr>
        <w:ind w:left="-10" w:right="8"/>
      </w:pPr>
      <w:r>
        <w:t xml:space="preserve">Pētījumā „Hokusai-VTE”, edoksabāna grupu salīdzinot ar varfarīna grupu, tīrā klīniskā iznākuma (recidivējošas VTE, būtiskas asiņošanas vai jebkādas etioloģijas mirstības; mITT populācija, pētījumu periods kopumā) RK (95% TI) bija 1,00 (0,85, 1,18). </w:t>
      </w:r>
    </w:p>
    <w:p w14:paraId="2EF707DC" w14:textId="77777777" w:rsidR="005B1006" w:rsidRDefault="005B1006" w:rsidP="005B1006">
      <w:pPr>
        <w:spacing w:after="46" w:line="259" w:lineRule="auto"/>
        <w:ind w:left="3" w:firstLine="0"/>
      </w:pPr>
      <w:r>
        <w:t xml:space="preserve"> </w:t>
      </w:r>
    </w:p>
    <w:p w14:paraId="55F549F4" w14:textId="77777777" w:rsidR="005B1006" w:rsidRDefault="005B1006" w:rsidP="005B1006">
      <w:pPr>
        <w:ind w:left="-10" w:right="8"/>
      </w:pPr>
      <w:r>
        <w:rPr>
          <w:i/>
        </w:rPr>
        <w:t xml:space="preserve">Insulta un sistēmiskas embolijas profilakse NVPM pacientiem ar augstu CrCl (CrCl &gt; 100 ml/min) </w:t>
      </w:r>
      <w:r>
        <w:t xml:space="preserve">607 pacientiem ar NVPM un augstu CrCl (CrCl &gt; 100 ml/min, aprēķinot pēc Kokrofta–Golta formulas) tika veikts īpašs randomizēts, dubultmaskēts pētījums („E314”), kura primārais mērķis bija novērtēt edoksabāna 60 mg vienreiz dienā salīdzinājumā ar 75 mg vienreiz dienā shēmas FK/FD. Papildus primārajam FK/FD mērķa kritērijam pētījumā novērtēja arī insulta un asiņošanas klīniskos mērķa kritērijus 12 mēnešus ilgā ārstēšanas posmā. </w:t>
      </w:r>
    </w:p>
    <w:p w14:paraId="3E22F6F9" w14:textId="77777777" w:rsidR="005B1006" w:rsidRDefault="005B1006" w:rsidP="005B1006">
      <w:pPr>
        <w:spacing w:after="43" w:line="259" w:lineRule="auto"/>
        <w:ind w:firstLine="0"/>
      </w:pPr>
      <w:r>
        <w:t xml:space="preserve"> </w:t>
      </w:r>
    </w:p>
    <w:p w14:paraId="5E69866C" w14:textId="77777777" w:rsidR="005B1006" w:rsidRDefault="005B1006" w:rsidP="005B1006">
      <w:pPr>
        <w:spacing w:line="320" w:lineRule="auto"/>
        <w:ind w:left="-10" w:right="8"/>
      </w:pPr>
      <w:r>
        <w:t xml:space="preserve">Lietojot edoksabāna devu 75 mg vienreiz dienā apakšgrupā ar augstu CrCl (&gt; 100 ml/min), iedarbība bija par ~25% spēcīgāka, salīdzinot ar edoksabāna devas 60 mg vienreiz dienā paredzēto iedarbību. </w:t>
      </w:r>
    </w:p>
    <w:p w14:paraId="1156C084" w14:textId="77777777" w:rsidR="005B1006" w:rsidRDefault="005B1006" w:rsidP="005B1006">
      <w:pPr>
        <w:spacing w:after="0" w:line="259" w:lineRule="auto"/>
        <w:ind w:left="3" w:firstLine="0"/>
      </w:pPr>
      <w:r>
        <w:t xml:space="preserve"> </w:t>
      </w:r>
    </w:p>
    <w:p w14:paraId="48245547" w14:textId="77777777" w:rsidR="005B1006" w:rsidRDefault="005B1006" w:rsidP="005B1006">
      <w:pPr>
        <w:ind w:left="-10" w:right="8"/>
      </w:pPr>
      <w:r>
        <w:t xml:space="preserve">Pacientu skaits, kuriem novēroja izskatīto salikto mērķa kritēriju: insulta/tranzitoras išēmiskas lēkmes (TIL)/sistēmiska embolijas notikuma (SEN) efektivitātes notikumus, bija ierobežots, novēroja 2 insulta gadījumus edoksabāna 60 mg grupā (0,7%; 95% TI: no 0,1% līdz 2,4%) un 3 insulta gadījumus edoksabāna 75 mg grupā (1%; 95% TI: no 0,2% līdz 2,9%). </w:t>
      </w:r>
    </w:p>
    <w:p w14:paraId="34E87004" w14:textId="77777777" w:rsidR="005B1006" w:rsidRDefault="005B1006" w:rsidP="005B1006">
      <w:pPr>
        <w:spacing w:after="45" w:line="259" w:lineRule="auto"/>
        <w:ind w:firstLine="0"/>
      </w:pPr>
      <w:r>
        <w:t xml:space="preserve"> </w:t>
      </w:r>
    </w:p>
    <w:p w14:paraId="541E2085" w14:textId="77777777" w:rsidR="005B1006" w:rsidRDefault="005B1006" w:rsidP="005B1006">
      <w:pPr>
        <w:spacing w:line="320" w:lineRule="auto"/>
        <w:ind w:left="-10" w:right="8"/>
      </w:pPr>
      <w:r>
        <w:t xml:space="preserve">Izskatītus būtiskas asiņošanas notikumus novēroja 2 (0,7%; 95% TI: no 0,1% līdz 2,4%) pacientiem edoksabāna 60 mg grupā, salīdzinot ar 3 (1,0%; 95% TI: no 0,2% līdz 2,9%) pacientiem edoksabāna 75 mg grupā. No 2 būtiskas asiņošanas notikumiem edoksabāna 60 mg grupā viens bija kritiski svarīgā apgabalā/orgānā (acī), bet otrs būtiskas asiņošanas notikums bija intramuskulāra asiņošana. No 3 būtiskas asiņošanas notikumiem edoksabāna 75 mg grupā 2 bija kritiski svarīgā apgabalā/orgānā (intracerebrāli/1 letāls iznākums) un 1 bija asiņošana kuņģa-zarnu trakta (KZT) augšējā daļā (dzīvībai bīstama). Bija arī 9 (3%) klīniski nozīmīgas mazāk būtiskas (KNMB) asiņošanas gadījumi edoksabāna 60 mg grupā un 7 (2,3%) KNMB asiņošanas gadījumi edoksabāna </w:t>
      </w:r>
    </w:p>
    <w:p w14:paraId="22D26AB5" w14:textId="77777777" w:rsidR="005B1006" w:rsidRDefault="005B1006" w:rsidP="005B1006">
      <w:pPr>
        <w:ind w:left="-10" w:right="8"/>
      </w:pPr>
      <w:r>
        <w:t xml:space="preserve">75 mg grupā. </w:t>
      </w:r>
    </w:p>
    <w:p w14:paraId="7D5453CD" w14:textId="77777777" w:rsidR="005B1006" w:rsidRDefault="005B1006" w:rsidP="005B1006">
      <w:pPr>
        <w:spacing w:after="45" w:line="259" w:lineRule="auto"/>
        <w:ind w:left="3" w:firstLine="0"/>
      </w:pPr>
      <w:r>
        <w:t xml:space="preserve"> </w:t>
      </w:r>
    </w:p>
    <w:p w14:paraId="271FEC91" w14:textId="77777777" w:rsidR="005B1006" w:rsidRDefault="005B1006" w:rsidP="005B1006">
      <w:pPr>
        <w:spacing w:line="319" w:lineRule="auto"/>
        <w:ind w:left="-10" w:right="8"/>
      </w:pPr>
      <w:r>
        <w:t xml:space="preserve">Papildus klīniskajam pētījumam „E314” 10 Eiropas valstīs tika veikts prospektīvs, starptautisks, daudzcentru, pēcreģistrācijas novērošanas pētījums („ETNA-AF”), kas aptvēra 13 980 pacientus. Šajā populācijā 1826 pacientiem CrCl bija &gt; 100 ml/min, un viņi edoksabānu 60 mg saņēma atbilstoši zāļu aprakstā norādītajiem dozēšanas kritērijiem. Saliktā kritērija: išēmiskā insulta vai sistēmiskas embolijas gada rādītājs bija 0,39%/gadā, un būtiskas asiņošanas notikumu rādītājs bija 0,73%/gadā. </w:t>
      </w:r>
    </w:p>
    <w:p w14:paraId="0EC32B5B" w14:textId="77777777" w:rsidR="005B1006" w:rsidRDefault="005B1006" w:rsidP="005B1006">
      <w:pPr>
        <w:spacing w:after="45" w:line="259" w:lineRule="auto"/>
        <w:ind w:left="2" w:firstLine="0"/>
      </w:pPr>
      <w:r>
        <w:t xml:space="preserve"> </w:t>
      </w:r>
    </w:p>
    <w:p w14:paraId="7062E9C5" w14:textId="77777777" w:rsidR="005B1006" w:rsidRDefault="005B1006" w:rsidP="005B1006">
      <w:pPr>
        <w:spacing w:after="34"/>
        <w:ind w:left="-10" w:right="8"/>
      </w:pPr>
      <w:r>
        <w:t xml:space="preserve">Ņemot vērā datu kopumu, kas iegūts pētījumos „ENGAGE AF”, „E314” un „ETNA-AF”, paredzams, ka pacientiem ar NVPM un augstu CrCl, kuri ārstēti ar edoksabānu 60 mg, išēmiskā insulta/sistēmiskas embolijas gada rādītājs būs ≤ 1%. Nav paredzams, ka devas palielināšana virs 60 mg NVPM pacientiem ar augstu CrCl (&gt; 100 ml/min) nodrošinātu lielāku aizsardzību pret insultu, un tā var būt saistīta ar izteiktākām blakusparādībām. Šiem pacientiem pēc rūpīgas individuālā trombembolijas un asiņošanas riska izvērtēšanas ieteicama edoksabāna 60 mg vienreiz dienā shēma (skatīt 4.4. apakšpunktu). </w:t>
      </w:r>
    </w:p>
    <w:p w14:paraId="1DAF0EBF" w14:textId="77777777" w:rsidR="005B1006" w:rsidRDefault="005B1006" w:rsidP="005B1006">
      <w:pPr>
        <w:spacing w:after="51" w:line="259" w:lineRule="auto"/>
        <w:ind w:left="2" w:firstLine="0"/>
      </w:pPr>
      <w:r>
        <w:t xml:space="preserve"> </w:t>
      </w:r>
    </w:p>
    <w:p w14:paraId="5FD589AE" w14:textId="77777777" w:rsidR="005B1006" w:rsidRDefault="005B1006" w:rsidP="005B1006">
      <w:pPr>
        <w:pStyle w:val="Heading3"/>
        <w:spacing w:after="0"/>
        <w:ind w:left="-1"/>
      </w:pPr>
      <w:r>
        <w:t xml:space="preserve">Pacienti, kam paredzēta kardioversija </w:t>
      </w:r>
    </w:p>
    <w:p w14:paraId="1E0FBF51" w14:textId="77777777" w:rsidR="005B1006" w:rsidRDefault="005B1006" w:rsidP="005B1006">
      <w:pPr>
        <w:spacing w:after="39"/>
        <w:ind w:left="-10" w:right="118"/>
      </w:pPr>
      <w:r>
        <w:t xml:space="preserve">Tika veikts daudzcentru, prospektīvs, nejaušināts, atklāts pētījums ar maskētu mērķa kritērija novērtējumu (ENSURE-AF), kur nejaušināti grupās iedalīja 2199 pacientus (perorālos koagulantus nelietojušus un iepriekš ārstētus) ar NVPM, kuriem ieplānota kardioversija, lai 60 mg edoksabāna vienreiz dienā salīdzinātu ar enoksaparīnu/varfarīnu terapeitiska </w:t>
      </w:r>
      <w:r>
        <w:rPr>
          <w:i/>
        </w:rPr>
        <w:t>INR</w:t>
      </w:r>
      <w:r>
        <w:t xml:space="preserve"> uzturēšanai robežās no 2,0 līdz 3,0 (nejaušināti iedalīja grupās attiecībā 1:1), varfarīna vidējais LTD bija 70,8%. Kopumā 2149 pacientus ārstēja ar edoksabānu (N = 1067) vai enoksaparīnu/varfarīnu (N = 1082). Pacienti edoksabāna terapijas grupā saņēma 30 mg vienreiz dienā, ja viņiem bija viens vai vairāki no šiem klīniskajiem faktoriem: vidēji smagi nieru darbības traucējumi (CrCl 30–50 ml/min), maza ķermeņa masa (≤ 60 kg) vai konkrētu P-gp inhibitoru vienlaikus lietošana. Vairākumam pacientu edoksabāna grupā un varfarīna grupā veica kardioversiju (attiecīgi 83,7% un 78,9%) vai notika autokonvertācija (attiecīgi 6,6% un 8,6%). Izmantoja TEE vadītu kardioversiju (ne vēlāk kā 3 dienas pēc medikācijas sākšanas) vai konvencionālu kardioversiju (vismaz 21 dienu ilgs iepriekšējs kurss). Terapijas kurss pacientiem turpinājās 28 dienas pēc kardioversijas. </w:t>
      </w:r>
    </w:p>
    <w:p w14:paraId="5D2B3781" w14:textId="77777777" w:rsidR="005B1006" w:rsidRDefault="005B1006" w:rsidP="005B1006">
      <w:pPr>
        <w:spacing w:after="0" w:line="259" w:lineRule="auto"/>
        <w:ind w:left="1" w:firstLine="0"/>
      </w:pPr>
      <w:r>
        <w:t xml:space="preserve"> </w:t>
      </w:r>
    </w:p>
    <w:p w14:paraId="5DFD28BA" w14:textId="77777777" w:rsidR="005B1006" w:rsidRDefault="005B1006" w:rsidP="005B1006">
      <w:pPr>
        <w:spacing w:after="40"/>
        <w:ind w:left="-10" w:right="8"/>
      </w:pPr>
      <w:r>
        <w:t xml:space="preserve">Primārais efektivitātes mērķa kritērijs bija visu notikumu kopums: insults, SEN, MI un KV mirstība. Kopumā 5 notikumi (0,5%, 95% TI 0,15–1,06%) attīstījās pacientiem edoksabāna grupā (N = 1095) un 11 notikumi (1,0%, 95% TI 0,50–1,78%) varfarīna grupā (N = 1104); izredžu attiecība 0,46 (95% TI 0,12–1,43); ITT analīzes kopa pētījuma kopējā ilgumā ar vidējo ilgumu 66 dienas. </w:t>
      </w:r>
    </w:p>
    <w:p w14:paraId="541051BE" w14:textId="77777777" w:rsidR="005B1006" w:rsidRDefault="005B1006" w:rsidP="005B1006">
      <w:pPr>
        <w:spacing w:after="45" w:line="259" w:lineRule="auto"/>
        <w:ind w:left="0" w:firstLine="0"/>
      </w:pPr>
      <w:r>
        <w:t xml:space="preserve"> </w:t>
      </w:r>
    </w:p>
    <w:p w14:paraId="111CCEA0" w14:textId="77777777" w:rsidR="005B1006" w:rsidRDefault="005B1006" w:rsidP="005B1006">
      <w:pPr>
        <w:spacing w:after="52"/>
        <w:ind w:left="-10" w:right="8"/>
      </w:pPr>
      <w:r>
        <w:t xml:space="preserve">Primārais drošuma mērķa kritērijs bija salikts: būtiska asiņošana un KNMB asiņošana. Kopumā </w:t>
      </w:r>
    </w:p>
    <w:p w14:paraId="192F997C" w14:textId="77777777" w:rsidR="005B1006" w:rsidRDefault="005B1006" w:rsidP="005B1006">
      <w:pPr>
        <w:spacing w:line="318" w:lineRule="auto"/>
        <w:ind w:left="-10" w:right="8"/>
      </w:pPr>
      <w:r>
        <w:t xml:space="preserve">16 notikumi (1,5%, 95% TI 0,86–2,42%) attīstījās pacientiem edoksabāna (N = 1067) grupā un 11 notikumi (1,0%, 95% TI 0,51–1,81%) varfarīna (N = 1082) grupā; izredžu attiecība 1,48 (95% TI 0,64–3,55); drošuma analīzes kopa par ārstēšanas laika posmu. </w:t>
      </w:r>
    </w:p>
    <w:p w14:paraId="521FD6DA" w14:textId="77777777" w:rsidR="005B1006" w:rsidRDefault="005B1006" w:rsidP="005B1006">
      <w:pPr>
        <w:spacing w:after="45" w:line="259" w:lineRule="auto"/>
        <w:ind w:left="0" w:firstLine="0"/>
      </w:pPr>
      <w:r>
        <w:t xml:space="preserve"> </w:t>
      </w:r>
    </w:p>
    <w:p w14:paraId="2A825ADD" w14:textId="77777777" w:rsidR="005B1006" w:rsidRDefault="005B1006" w:rsidP="005B1006">
      <w:pPr>
        <w:spacing w:line="321" w:lineRule="auto"/>
        <w:ind w:left="-10" w:right="8"/>
      </w:pPr>
      <w:r>
        <w:t xml:space="preserve">Šis izpētes pētījums uzrādīja zemus būtiskas un KNMB asiņošanas un trombembolijas rādītājus abās ārstēšanas grupās kardioversijas ietvaros. </w:t>
      </w:r>
    </w:p>
    <w:p w14:paraId="65E498D0" w14:textId="77777777" w:rsidR="005B1006" w:rsidRDefault="005B1006" w:rsidP="005B1006">
      <w:pPr>
        <w:spacing w:after="0" w:line="259" w:lineRule="auto"/>
        <w:ind w:left="0" w:firstLine="0"/>
      </w:pPr>
      <w:r>
        <w:t xml:space="preserve"> </w:t>
      </w:r>
    </w:p>
    <w:p w14:paraId="0DC75D2D" w14:textId="77777777" w:rsidR="005B1006" w:rsidRDefault="005B1006" w:rsidP="005B1006">
      <w:pPr>
        <w:pStyle w:val="Heading2"/>
        <w:ind w:left="0"/>
      </w:pPr>
      <w:r>
        <w:t>Pediatriskā populācija</w:t>
      </w:r>
      <w:r>
        <w:rPr>
          <w:u w:val="none"/>
        </w:rPr>
        <w:t xml:space="preserve"> </w:t>
      </w:r>
    </w:p>
    <w:p w14:paraId="344E3342" w14:textId="77777777" w:rsidR="005B1006" w:rsidRDefault="005B1006" w:rsidP="005B1006">
      <w:pPr>
        <w:ind w:left="-10" w:right="8"/>
      </w:pPr>
      <w:r>
        <w:t xml:space="preserve">Eiropas Zāļu aģentūra atliek pienākumu iesniegt pētījumu rezultātus edoksabānam vienā vai vairākās pediatriskās populācijas apakšgrupās artēriju trombozes profilaksei, trombembolijas ārstēšanai un trombembolijas profilaksei (informāciju par lietošanu bērniem skatīt 4.2. apakšpunktā). </w:t>
      </w:r>
    </w:p>
    <w:p w14:paraId="37112F63" w14:textId="77777777" w:rsidR="005B1006" w:rsidRDefault="005B1006" w:rsidP="005B1006">
      <w:pPr>
        <w:spacing w:after="44" w:line="259" w:lineRule="auto"/>
        <w:ind w:firstLine="0"/>
      </w:pPr>
      <w:r>
        <w:rPr>
          <w:b/>
        </w:rPr>
        <w:t xml:space="preserve"> </w:t>
      </w:r>
    </w:p>
    <w:p w14:paraId="2953BC96" w14:textId="77777777" w:rsidR="005B1006" w:rsidRDefault="005B1006" w:rsidP="005B1006">
      <w:pPr>
        <w:tabs>
          <w:tab w:val="center" w:pos="1883"/>
        </w:tabs>
        <w:spacing w:after="0" w:line="259" w:lineRule="auto"/>
        <w:ind w:left="-10" w:firstLine="0"/>
      </w:pPr>
      <w:r>
        <w:rPr>
          <w:b/>
        </w:rPr>
        <w:t xml:space="preserve">5.2. </w:t>
      </w:r>
      <w:r>
        <w:rPr>
          <w:b/>
        </w:rPr>
        <w:tab/>
        <w:t xml:space="preserve">Farmakokinētiskās īpašības </w:t>
      </w:r>
    </w:p>
    <w:p w14:paraId="0C76953F" w14:textId="77777777" w:rsidR="005B1006" w:rsidRDefault="005B1006" w:rsidP="005B1006">
      <w:pPr>
        <w:spacing w:after="44" w:line="259" w:lineRule="auto"/>
        <w:ind w:firstLine="0"/>
      </w:pPr>
      <w:r>
        <w:t xml:space="preserve"> </w:t>
      </w:r>
    </w:p>
    <w:p w14:paraId="3C4841B1" w14:textId="77777777" w:rsidR="005B1006" w:rsidRDefault="005B1006" w:rsidP="005B1006">
      <w:pPr>
        <w:pStyle w:val="Heading2"/>
        <w:ind w:left="0"/>
      </w:pPr>
      <w:r>
        <w:t>Uzsūkšanās</w:t>
      </w:r>
      <w:r>
        <w:rPr>
          <w:u w:val="none"/>
        </w:rPr>
        <w:t xml:space="preserve"> </w:t>
      </w:r>
    </w:p>
    <w:p w14:paraId="3B0CF8CB" w14:textId="77777777" w:rsidR="005B1006" w:rsidRDefault="005B1006" w:rsidP="005B1006">
      <w:pPr>
        <w:spacing w:after="45" w:line="259" w:lineRule="auto"/>
        <w:ind w:firstLine="0"/>
      </w:pPr>
      <w:r>
        <w:t xml:space="preserve"> </w:t>
      </w:r>
    </w:p>
    <w:p w14:paraId="7BB1673F" w14:textId="77777777" w:rsidR="005B1006" w:rsidRDefault="005B1006" w:rsidP="005B1006">
      <w:pPr>
        <w:spacing w:after="54"/>
        <w:ind w:left="-10" w:right="8"/>
      </w:pPr>
      <w:r>
        <w:t xml:space="preserve">Edoksabāns uzsūcas, maksimālo koncentrāciju plazmā sasniedzot 1–2 stundās. Absolūtā biopieejamība ir apmēram 62%. Uzturs maksimālo iedarbību pastiprina dažādā apmērā, taču kopējo iedarbību ietekmē minimāli. Edoksabānu pētījumā „ENGAGE AF-TIMI 48” un pētījumā </w:t>
      </w:r>
    </w:p>
    <w:p w14:paraId="5FD2E47B" w14:textId="77777777" w:rsidR="005B1006" w:rsidRDefault="005B1006" w:rsidP="005B1006">
      <w:pPr>
        <w:spacing w:line="322" w:lineRule="auto"/>
        <w:ind w:left="-10" w:right="8"/>
      </w:pPr>
      <w:r>
        <w:t xml:space="preserve">„Hokusai-VTE” lietoja kopā ar uzturu vai tukšā dūšā. Edoksabāns slikti šķīst, ja pH ir 6,0 vai lielāks. Lietošana vienlaikus ar protonu sūkņa inhibitoriem edoksabāna iedarbību būtiski neietekmēja. </w:t>
      </w:r>
    </w:p>
    <w:p w14:paraId="3894219E" w14:textId="77777777" w:rsidR="005B1006" w:rsidRDefault="005B1006" w:rsidP="005B1006">
      <w:pPr>
        <w:spacing w:after="49" w:line="259" w:lineRule="auto"/>
        <w:ind w:firstLine="0"/>
      </w:pPr>
      <w:r>
        <w:t xml:space="preserve"> </w:t>
      </w:r>
    </w:p>
    <w:p w14:paraId="25DA898F" w14:textId="77777777" w:rsidR="005B1006" w:rsidRDefault="005B1006" w:rsidP="005B1006">
      <w:pPr>
        <w:ind w:left="-10" w:right="8"/>
      </w:pPr>
      <w:r>
        <w:t>Pētījumā 30 veseliem cilvēkiem 60 mg edoksabāna vidējās AUC un C</w:t>
      </w:r>
      <w:r>
        <w:rPr>
          <w:sz w:val="14"/>
        </w:rPr>
        <w:t>max</w:t>
      </w:r>
      <w:r>
        <w:t xml:space="preserve"> vērtības, to lietojot iekšķīgi sasmalcinātas tabletes veidā, kas iejaukta ābolu biezenī, vai suspendētu ūdenī caur nazogastrālo zondi, bija bioekvivalentas veselai tabletei. Ņemot vērā edoksabāna paredzamo, devai proporcionālo farmakokinētisko profilu, šajā pētījumā iegūtie biopieejamības rezultāti, iespējams, ir attiecināmi uz mazākām edoksabāna devām. </w:t>
      </w:r>
    </w:p>
    <w:p w14:paraId="4BDC00A6" w14:textId="77777777" w:rsidR="005B1006" w:rsidRDefault="005B1006" w:rsidP="005B1006">
      <w:pPr>
        <w:spacing w:after="42" w:line="259" w:lineRule="auto"/>
        <w:ind w:firstLine="0"/>
      </w:pPr>
      <w:r>
        <w:t xml:space="preserve"> </w:t>
      </w:r>
    </w:p>
    <w:p w14:paraId="5211C801" w14:textId="77777777" w:rsidR="005B1006" w:rsidRDefault="005B1006" w:rsidP="005B1006">
      <w:pPr>
        <w:pStyle w:val="Heading2"/>
        <w:ind w:left="0"/>
      </w:pPr>
      <w:r>
        <w:t>Izkliede</w:t>
      </w:r>
      <w:r>
        <w:rPr>
          <w:u w:val="none"/>
        </w:rPr>
        <w:t xml:space="preserve"> </w:t>
      </w:r>
    </w:p>
    <w:p w14:paraId="0F32B731" w14:textId="77777777" w:rsidR="005B1006" w:rsidRDefault="005B1006" w:rsidP="005B1006">
      <w:pPr>
        <w:spacing w:after="45" w:line="259" w:lineRule="auto"/>
        <w:ind w:firstLine="0"/>
      </w:pPr>
      <w:r>
        <w:t xml:space="preserve"> </w:t>
      </w:r>
    </w:p>
    <w:p w14:paraId="27AA8AB3" w14:textId="77777777" w:rsidR="005B1006" w:rsidRDefault="005B1006" w:rsidP="005B1006">
      <w:pPr>
        <w:spacing w:after="59"/>
        <w:ind w:left="-10" w:right="8"/>
      </w:pPr>
      <w:r>
        <w:t xml:space="preserve">Izplatība ir divu fāžu. Izkliedes tilpums ir 107 (19,9) l vidēji (SN). </w:t>
      </w:r>
    </w:p>
    <w:p w14:paraId="5497BBD5" w14:textId="77777777" w:rsidR="005B1006" w:rsidRDefault="005B1006" w:rsidP="005B1006">
      <w:pPr>
        <w:ind w:left="-10" w:right="8"/>
      </w:pPr>
      <w:r>
        <w:rPr>
          <w:i/>
        </w:rPr>
        <w:t>In vitro</w:t>
      </w:r>
      <w:r>
        <w:t xml:space="preserve"> ar plazmas olbaltumvielām saistās apmēram 55%. Lietojot vienreiz dienā, edoksabāns klīniski nozīmīgi neuzkrājas (uzkrāšanās koeficients 1,14). Līdzsvara koncentrāciju sasniedz </w:t>
      </w:r>
    </w:p>
    <w:p w14:paraId="5C0DCD2B" w14:textId="77777777" w:rsidR="005B1006" w:rsidRDefault="005B1006" w:rsidP="005B1006">
      <w:pPr>
        <w:ind w:left="-10" w:right="8"/>
      </w:pPr>
      <w:r>
        <w:t xml:space="preserve">3 dienās. </w:t>
      </w:r>
    </w:p>
    <w:p w14:paraId="1884CEF4" w14:textId="77777777" w:rsidR="005B1006" w:rsidRDefault="005B1006" w:rsidP="005B1006">
      <w:pPr>
        <w:spacing w:after="45" w:line="259" w:lineRule="auto"/>
        <w:ind w:firstLine="0"/>
      </w:pPr>
      <w:r>
        <w:t xml:space="preserve"> </w:t>
      </w:r>
    </w:p>
    <w:p w14:paraId="3A04226F" w14:textId="77777777" w:rsidR="005B1006" w:rsidRDefault="005B1006" w:rsidP="005B1006">
      <w:pPr>
        <w:pStyle w:val="Heading2"/>
        <w:ind w:left="0"/>
      </w:pPr>
      <w:r>
        <w:t>Biotransformācija</w:t>
      </w:r>
      <w:r>
        <w:rPr>
          <w:u w:val="none"/>
        </w:rPr>
        <w:t xml:space="preserve"> </w:t>
      </w:r>
    </w:p>
    <w:p w14:paraId="4BA9D437" w14:textId="77777777" w:rsidR="005B1006" w:rsidRDefault="005B1006" w:rsidP="005B1006">
      <w:pPr>
        <w:spacing w:after="0" w:line="259" w:lineRule="auto"/>
        <w:ind w:firstLine="0"/>
      </w:pPr>
      <w:r>
        <w:t xml:space="preserve"> </w:t>
      </w:r>
    </w:p>
    <w:p w14:paraId="4D3F1E4B" w14:textId="77777777" w:rsidR="005B1006" w:rsidRDefault="005B1006" w:rsidP="005B1006">
      <w:pPr>
        <w:ind w:left="-10" w:right="8"/>
      </w:pPr>
      <w:r>
        <w:t xml:space="preserve">Dominējošā forma plazmā ir neizmainīts edoksabāns. Edoksabāns metabolizējas hidrolīzes (iesaistoties karboksilesterāzei 1), konjugācijas vai oksidācijas ar CYP3A4/5 (&lt;10%) ceļā. Edoksabānam ir trīs aktīvie metabolīti; dominējošais metabolīts (M #x1E;4), kas veidojas hidrolīzes ceļā, ir aktīvs, un veseliem cilvēkiem tas sasniedz mazāk par 10% no primārā savienojuma iedarbības. Iedarbība uz citiem metabolītiem ir mazāka par 5%. Edoksabāns ir izplūdes transportiera P-gp substrāts, bet ne uzņemšanas transportiera, piemēram, organiska anjonu transportēšanas polipeptīda OATP1B1, organiska anjonu transportiera OAT1 vai OAT3 vai organiska katjonu transportiera OCT2, substrāts. Tā aktīvais metabolīts ir OATP1B1 substrāts. </w:t>
      </w:r>
    </w:p>
    <w:p w14:paraId="0979F4B2" w14:textId="77777777" w:rsidR="005B1006" w:rsidRDefault="005B1006" w:rsidP="005B1006">
      <w:pPr>
        <w:spacing w:after="44" w:line="259" w:lineRule="auto"/>
        <w:ind w:firstLine="0"/>
      </w:pPr>
      <w:r>
        <w:t xml:space="preserve"> </w:t>
      </w:r>
    </w:p>
    <w:p w14:paraId="26AD1527" w14:textId="77777777" w:rsidR="005B1006" w:rsidRDefault="005B1006" w:rsidP="005B1006">
      <w:pPr>
        <w:pStyle w:val="Heading2"/>
        <w:ind w:left="0"/>
      </w:pPr>
      <w:r>
        <w:t>Eliminācija</w:t>
      </w:r>
      <w:r>
        <w:rPr>
          <w:u w:val="none"/>
        </w:rPr>
        <w:t xml:space="preserve"> </w:t>
      </w:r>
    </w:p>
    <w:p w14:paraId="59112D64" w14:textId="77777777" w:rsidR="005B1006" w:rsidRDefault="005B1006" w:rsidP="005B1006">
      <w:pPr>
        <w:spacing w:after="43" w:line="259" w:lineRule="auto"/>
        <w:ind w:firstLine="0"/>
      </w:pPr>
      <w:r>
        <w:t xml:space="preserve"> </w:t>
      </w:r>
    </w:p>
    <w:p w14:paraId="03074653" w14:textId="77777777" w:rsidR="005B1006" w:rsidRDefault="005B1006" w:rsidP="005B1006">
      <w:pPr>
        <w:spacing w:line="321" w:lineRule="auto"/>
        <w:ind w:left="-10" w:right="329"/>
      </w:pPr>
      <w:r>
        <w:t>Veseliem cilvēkiem kopējais klīrenss novērtēts kā 22 (± 3) l/stundā; 50% izvadās caur nierēm (11 l/stundā). Klīrenss caur nierēm ir apmēram 35% lietotās devas. Pārējais klīrenss notiek vielmaiņas un izvadīšanas caur žultsvadiem/zarnām ceļā. Lietojot iekšķīgi, t</w:t>
      </w:r>
      <w:r>
        <w:rPr>
          <w:sz w:val="14"/>
        </w:rPr>
        <w:t>½</w:t>
      </w:r>
      <w:r>
        <w:t xml:space="preserve"> ir 10-14 stundas. </w:t>
      </w:r>
    </w:p>
    <w:p w14:paraId="49218E55" w14:textId="77777777" w:rsidR="005B1006" w:rsidRDefault="005B1006" w:rsidP="005B1006">
      <w:pPr>
        <w:spacing w:after="46" w:line="259" w:lineRule="auto"/>
        <w:ind w:firstLine="0"/>
      </w:pPr>
      <w:r>
        <w:t xml:space="preserve"> </w:t>
      </w:r>
    </w:p>
    <w:p w14:paraId="275E24DB" w14:textId="77777777" w:rsidR="005B1006" w:rsidRDefault="005B1006" w:rsidP="005B1006">
      <w:pPr>
        <w:pStyle w:val="Heading2"/>
        <w:ind w:left="0"/>
      </w:pPr>
      <w:r>
        <w:t>Linearitāte/nelinearitāte</w:t>
      </w:r>
      <w:r>
        <w:rPr>
          <w:u w:val="none"/>
        </w:rPr>
        <w:t xml:space="preserve"> </w:t>
      </w:r>
    </w:p>
    <w:p w14:paraId="61B8A519" w14:textId="77777777" w:rsidR="005B1006" w:rsidRDefault="005B1006" w:rsidP="005B1006">
      <w:pPr>
        <w:spacing w:after="45" w:line="259" w:lineRule="auto"/>
        <w:ind w:firstLine="0"/>
      </w:pPr>
      <w:r>
        <w:t xml:space="preserve"> </w:t>
      </w:r>
    </w:p>
    <w:p w14:paraId="03A28B20" w14:textId="77777777" w:rsidR="005B1006" w:rsidRDefault="005B1006" w:rsidP="005B1006">
      <w:pPr>
        <w:spacing w:line="320" w:lineRule="auto"/>
        <w:ind w:left="-10" w:right="8"/>
      </w:pPr>
      <w:r>
        <w:t xml:space="preserve">Veseliem cilvēkiem lietojot devas no 15 mg līdz 60 mg, edoksabāna farmakokinētika ir apmēram proporcionāla devai. </w:t>
      </w:r>
    </w:p>
    <w:p w14:paraId="0DBFF257" w14:textId="77777777" w:rsidR="005B1006" w:rsidRDefault="005B1006" w:rsidP="005B1006">
      <w:pPr>
        <w:spacing w:after="45" w:line="259" w:lineRule="auto"/>
        <w:ind w:firstLine="0"/>
      </w:pPr>
      <w:r>
        <w:t xml:space="preserve"> </w:t>
      </w:r>
    </w:p>
    <w:p w14:paraId="17C0B16D" w14:textId="77777777" w:rsidR="005B1006" w:rsidRDefault="005B1006" w:rsidP="005B1006">
      <w:pPr>
        <w:pStyle w:val="Heading2"/>
        <w:ind w:left="0"/>
      </w:pPr>
      <w:r>
        <w:t>Īpašas pacientu grupas</w:t>
      </w:r>
      <w:r>
        <w:rPr>
          <w:u w:val="none"/>
        </w:rPr>
        <w:t xml:space="preserve"> </w:t>
      </w:r>
    </w:p>
    <w:p w14:paraId="56635074" w14:textId="77777777" w:rsidR="005B1006" w:rsidRDefault="005B1006" w:rsidP="005B1006">
      <w:pPr>
        <w:spacing w:after="48" w:line="259" w:lineRule="auto"/>
        <w:ind w:firstLine="0"/>
      </w:pPr>
      <w:r>
        <w:t xml:space="preserve"> </w:t>
      </w:r>
    </w:p>
    <w:p w14:paraId="3B125246" w14:textId="77777777" w:rsidR="005B1006" w:rsidRDefault="005B1006" w:rsidP="005B1006">
      <w:pPr>
        <w:pStyle w:val="Heading3"/>
        <w:ind w:left="-1"/>
      </w:pPr>
      <w:r>
        <w:t xml:space="preserve">Gados vecāki cilvēki </w:t>
      </w:r>
    </w:p>
    <w:p w14:paraId="48EB22FE" w14:textId="77777777" w:rsidR="005B1006" w:rsidRDefault="005B1006" w:rsidP="005B1006">
      <w:pPr>
        <w:spacing w:line="322" w:lineRule="auto"/>
        <w:ind w:left="-10" w:right="8"/>
      </w:pPr>
      <w:r>
        <w:t xml:space="preserve">Atbilstīgi populācijas farmakokinētikas datu analīzes rezultātiem pivotālajā 3. fāzes pētījumā par NVPM („ENGAGE AF-TIMI 48”) pēc tam, kad bija ņemta vērā nieru darbība un ķermeņa masa, vecums edoksabāna farmakokinētiku papildus klīniski nozīmīgi neietekmēja. </w:t>
      </w:r>
    </w:p>
    <w:p w14:paraId="7FAA42C3" w14:textId="77777777" w:rsidR="005B1006" w:rsidRDefault="005B1006" w:rsidP="005B1006">
      <w:pPr>
        <w:spacing w:after="0" w:line="259" w:lineRule="auto"/>
        <w:ind w:firstLine="0"/>
      </w:pPr>
      <w:r>
        <w:t xml:space="preserve"> </w:t>
      </w:r>
    </w:p>
    <w:p w14:paraId="41D02089" w14:textId="77777777" w:rsidR="005B1006" w:rsidRDefault="005B1006" w:rsidP="005B1006">
      <w:pPr>
        <w:pStyle w:val="Heading3"/>
        <w:ind w:left="-1"/>
      </w:pPr>
      <w:r>
        <w:t xml:space="preserve">Nieru darbības traucējumi </w:t>
      </w:r>
    </w:p>
    <w:p w14:paraId="687CFE9C" w14:textId="77777777" w:rsidR="005B1006" w:rsidRDefault="005B1006" w:rsidP="005B1006">
      <w:pPr>
        <w:spacing w:after="28"/>
        <w:ind w:left="-10" w:right="8"/>
      </w:pPr>
      <w:r>
        <w:t xml:space="preserve">Plazmas AUC pacientiem ar viegliem (CrCl &gt;50–80 ml/min), vidēji smagiem (CrCl 30–50 ml/min) un smagiem (CrCl &lt;30 ml/min, bet netiek veikta dialīze) nieru darbības traucējumiem bija attiecīgi par 32%, 74% un 72% lielāks nekā pacientiem ar normālu nieru darbību. Pacientiem ar nieru darbības traucējumiem metabolītu profils mainās un veidojas lielāks daudzums aktīvo metabolītu. Starp edoksabāna koncentrāciju plazmā un anti-FXa aktivitāti neatkarīgi no nieru darbības ir lineāra korelācija. </w:t>
      </w:r>
    </w:p>
    <w:p w14:paraId="1E409485" w14:textId="77777777" w:rsidR="005B1006" w:rsidRDefault="005B1006" w:rsidP="005B1006">
      <w:pPr>
        <w:spacing w:after="30"/>
        <w:ind w:left="-10" w:right="8"/>
      </w:pPr>
      <w:r>
        <w:t xml:space="preserve">Pacientiem ar TNM, kam veic peritoneālu dialīzi, kopējā iedarbība bija par 93% lielāka nekā veseliem cilvēkiem. </w:t>
      </w:r>
    </w:p>
    <w:p w14:paraId="2E8E70BC" w14:textId="77777777" w:rsidR="005B1006" w:rsidRDefault="005B1006" w:rsidP="005B1006">
      <w:pPr>
        <w:spacing w:after="37"/>
        <w:ind w:left="-10" w:right="8"/>
      </w:pPr>
      <w:r>
        <w:t xml:space="preserve">Populācijas farmakokinētikas modelēšana liecina, ka pacientiem ar smagiem nieru darbības traucējumiem (CrCl 15–29 ml/min), salīdzinot ar pacientiem ar normālu nieru darbību, iedarbība apmēram divkāršojas. </w:t>
      </w:r>
    </w:p>
    <w:p w14:paraId="29879B8A" w14:textId="77777777" w:rsidR="005B1006" w:rsidRDefault="005B1006" w:rsidP="005B1006">
      <w:pPr>
        <w:spacing w:after="46" w:line="259" w:lineRule="auto"/>
        <w:ind w:firstLine="0"/>
      </w:pPr>
      <w:r>
        <w:t xml:space="preserve"> </w:t>
      </w:r>
    </w:p>
    <w:p w14:paraId="5266BC4C" w14:textId="77777777" w:rsidR="005B1006" w:rsidRDefault="005B1006" w:rsidP="005B1006">
      <w:pPr>
        <w:spacing w:after="44"/>
        <w:ind w:left="-10" w:right="8"/>
      </w:pPr>
      <w:r>
        <w:t xml:space="preserve">Tālāk esošā 12. tabula demonstrē edoksabāna anti-FXa aktivitāti atbilstoši CrCl kategorijai katrā indikācijā. </w:t>
      </w:r>
    </w:p>
    <w:p w14:paraId="4A528E2B" w14:textId="77777777" w:rsidR="005B1006" w:rsidRDefault="005B1006" w:rsidP="005B1006">
      <w:pPr>
        <w:spacing w:after="54" w:line="259" w:lineRule="auto"/>
        <w:ind w:firstLine="0"/>
      </w:pPr>
      <w:r>
        <w:t xml:space="preserve"> </w:t>
      </w:r>
    </w:p>
    <w:p w14:paraId="5C24EA4D" w14:textId="77777777" w:rsidR="005B1006" w:rsidRDefault="005B1006" w:rsidP="005B1006">
      <w:pPr>
        <w:pStyle w:val="Heading4"/>
        <w:ind w:left="0" w:right="0"/>
      </w:pPr>
      <w:r>
        <w:t xml:space="preserve">12. tabula. Edoksabāna anti-FXa aktivitāte atbilstoši CrCl </w:t>
      </w:r>
    </w:p>
    <w:tbl>
      <w:tblPr>
        <w:tblStyle w:val="TableGrid"/>
        <w:tblW w:w="8238" w:type="dxa"/>
        <w:tblInd w:w="10" w:type="dxa"/>
        <w:tblCellMar>
          <w:top w:w="4" w:type="dxa"/>
          <w:left w:w="17" w:type="dxa"/>
          <w:bottom w:w="0" w:type="dxa"/>
          <w:right w:w="109" w:type="dxa"/>
        </w:tblCellMar>
        <w:tblLook w:val="04A0" w:firstRow="1" w:lastRow="0" w:firstColumn="1" w:lastColumn="0" w:noHBand="0" w:noVBand="1"/>
      </w:tblPr>
      <w:tblGrid>
        <w:gridCol w:w="1718"/>
        <w:gridCol w:w="1701"/>
        <w:gridCol w:w="2410"/>
        <w:gridCol w:w="2409"/>
      </w:tblGrid>
      <w:tr w:rsidR="005B1006" w14:paraId="087B7F00" w14:textId="77777777" w:rsidTr="00A250AE">
        <w:trPr>
          <w:trHeight w:val="905"/>
        </w:trPr>
        <w:tc>
          <w:tcPr>
            <w:tcW w:w="1718" w:type="dxa"/>
            <w:tcBorders>
              <w:top w:val="single" w:sz="4" w:space="0" w:color="000000"/>
              <w:left w:val="single" w:sz="4" w:space="0" w:color="000000"/>
              <w:bottom w:val="single" w:sz="4" w:space="0" w:color="000000"/>
              <w:right w:val="single" w:sz="4" w:space="0" w:color="000000"/>
            </w:tcBorders>
            <w:shd w:val="clear" w:color="auto" w:fill="D9D9D9"/>
          </w:tcPr>
          <w:p w14:paraId="0F3D6E48" w14:textId="77777777" w:rsidR="005B1006" w:rsidRDefault="005B1006" w:rsidP="00A250AE">
            <w:pPr>
              <w:spacing w:after="0" w:line="259" w:lineRule="auto"/>
              <w:ind w:left="40" w:firstLine="0"/>
              <w:jc w:val="center"/>
            </w:pPr>
            <w:r>
              <w:rPr>
                <w:b/>
              </w:rPr>
              <w:t xml:space="preserve">Edoksabāna deva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2BC7F9F" w14:textId="77777777" w:rsidR="005B1006" w:rsidRDefault="005B1006" w:rsidP="00A250AE">
            <w:pPr>
              <w:spacing w:after="0" w:line="259" w:lineRule="auto"/>
              <w:ind w:left="187" w:right="39" w:firstLine="0"/>
              <w:jc w:val="center"/>
            </w:pPr>
            <w:r>
              <w:rPr>
                <w:b/>
              </w:rPr>
              <w:t xml:space="preserve">CrCl (ml/min)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478CAD5" w14:textId="77777777" w:rsidR="005B1006" w:rsidRDefault="005B1006" w:rsidP="00A250AE">
            <w:pPr>
              <w:spacing w:after="69" w:line="259" w:lineRule="auto"/>
              <w:ind w:left="92" w:firstLine="0"/>
              <w:jc w:val="center"/>
            </w:pPr>
            <w:r>
              <w:rPr>
                <w:b/>
              </w:rPr>
              <w:t xml:space="preserve">Edoksabāna </w:t>
            </w:r>
          </w:p>
          <w:p w14:paraId="390A1F93" w14:textId="77777777" w:rsidR="005B1006" w:rsidRDefault="005B1006" w:rsidP="00A250AE">
            <w:pPr>
              <w:spacing w:after="0" w:line="259" w:lineRule="auto"/>
              <w:ind w:left="134" w:firstLine="0"/>
              <w:jc w:val="center"/>
            </w:pPr>
            <w:r>
              <w:rPr>
                <w:b/>
              </w:rPr>
              <w:t>anti-FXa aktivitāte  pēc devas (SV/ml)</w:t>
            </w:r>
            <w:r>
              <w:rPr>
                <w:b/>
                <w:vertAlign w:val="superscript"/>
              </w:rPr>
              <w:footnoteReference w:id="2"/>
            </w:r>
            <w:r>
              <w:rPr>
                <w:b/>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546A2E35" w14:textId="77777777" w:rsidR="005B1006" w:rsidRDefault="005B1006" w:rsidP="00A250AE">
            <w:pPr>
              <w:spacing w:after="0" w:line="259" w:lineRule="auto"/>
              <w:ind w:left="193" w:right="50" w:firstLine="28"/>
              <w:jc w:val="center"/>
            </w:pPr>
            <w:r>
              <w:rPr>
                <w:b/>
              </w:rPr>
              <w:t>Edoksabāns anti-FXa aktivitāte  pirms devas (SV/ml)</w:t>
            </w:r>
            <w:r>
              <w:rPr>
                <w:b/>
                <w:vertAlign w:val="superscript"/>
              </w:rPr>
              <w:t>2</w:t>
            </w:r>
            <w:r>
              <w:rPr>
                <w:b/>
              </w:rPr>
              <w:t xml:space="preserve"> </w:t>
            </w:r>
          </w:p>
        </w:tc>
      </w:tr>
      <w:tr w:rsidR="005B1006" w14:paraId="27E0BB65" w14:textId="77777777" w:rsidTr="00A250AE">
        <w:trPr>
          <w:trHeight w:val="308"/>
        </w:trPr>
        <w:tc>
          <w:tcPr>
            <w:tcW w:w="1718" w:type="dxa"/>
            <w:tcBorders>
              <w:top w:val="single" w:sz="4" w:space="0" w:color="000000"/>
              <w:left w:val="single" w:sz="4" w:space="0" w:color="000000"/>
              <w:bottom w:val="single" w:sz="4" w:space="0" w:color="000000"/>
              <w:right w:val="single" w:sz="4" w:space="0" w:color="000000"/>
            </w:tcBorders>
          </w:tcPr>
          <w:p w14:paraId="04C3CB04" w14:textId="77777777" w:rsidR="005B1006" w:rsidRDefault="005B1006" w:rsidP="00A250AE">
            <w:pPr>
              <w:spacing w:after="0" w:line="259" w:lineRule="auto"/>
              <w:ind w:left="0" w:firstLine="0"/>
            </w:pPr>
            <w:r>
              <w:t xml:space="preserve"> </w:t>
            </w:r>
          </w:p>
        </w:tc>
        <w:tc>
          <w:tcPr>
            <w:tcW w:w="6520" w:type="dxa"/>
            <w:gridSpan w:val="3"/>
            <w:tcBorders>
              <w:top w:val="single" w:sz="4" w:space="0" w:color="000000"/>
              <w:left w:val="single" w:sz="4" w:space="0" w:color="000000"/>
              <w:bottom w:val="single" w:sz="4" w:space="0" w:color="000000"/>
              <w:right w:val="single" w:sz="4" w:space="0" w:color="000000"/>
            </w:tcBorders>
          </w:tcPr>
          <w:p w14:paraId="66500BC7" w14:textId="77777777" w:rsidR="005B1006" w:rsidRDefault="005B1006" w:rsidP="00A250AE">
            <w:pPr>
              <w:spacing w:after="0" w:line="259" w:lineRule="auto"/>
              <w:ind w:left="96" w:firstLine="0"/>
              <w:jc w:val="center"/>
            </w:pPr>
            <w:r>
              <w:t xml:space="preserve">Mediāna [2,5–97,5% diapazonā] </w:t>
            </w:r>
          </w:p>
        </w:tc>
      </w:tr>
      <w:tr w:rsidR="005B1006" w14:paraId="55A0C6D8" w14:textId="77777777" w:rsidTr="00A250AE">
        <w:trPr>
          <w:trHeight w:val="290"/>
        </w:trPr>
        <w:tc>
          <w:tcPr>
            <w:tcW w:w="823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81CCF5" w14:textId="77777777" w:rsidR="005B1006" w:rsidRDefault="005B1006" w:rsidP="00A250AE">
            <w:pPr>
              <w:spacing w:after="0" w:line="259" w:lineRule="auto"/>
              <w:ind w:left="0" w:firstLine="0"/>
            </w:pPr>
            <w:r>
              <w:t xml:space="preserve">Insulta un sistēmiskas embolijas profilakse: NVPM </w:t>
            </w:r>
          </w:p>
        </w:tc>
      </w:tr>
      <w:tr w:rsidR="005B1006" w14:paraId="2DE0C79F" w14:textId="77777777" w:rsidTr="00A250AE">
        <w:trPr>
          <w:trHeight w:val="560"/>
        </w:trPr>
        <w:tc>
          <w:tcPr>
            <w:tcW w:w="1718" w:type="dxa"/>
            <w:tcBorders>
              <w:top w:val="single" w:sz="4" w:space="0" w:color="000000"/>
              <w:left w:val="single" w:sz="4" w:space="0" w:color="000000"/>
              <w:bottom w:val="single" w:sz="4" w:space="0" w:color="000000"/>
              <w:right w:val="single" w:sz="4" w:space="0" w:color="000000"/>
            </w:tcBorders>
          </w:tcPr>
          <w:p w14:paraId="13F91F6B" w14:textId="77777777" w:rsidR="005B1006" w:rsidRDefault="005B1006" w:rsidP="00A250AE">
            <w:pPr>
              <w:spacing w:after="0" w:line="259" w:lineRule="auto"/>
              <w:ind w:left="0" w:firstLine="0"/>
            </w:pPr>
            <w:r>
              <w:t xml:space="preserve">30 mg vienreiz dienā </w:t>
            </w:r>
          </w:p>
        </w:tc>
        <w:tc>
          <w:tcPr>
            <w:tcW w:w="1701" w:type="dxa"/>
            <w:tcBorders>
              <w:top w:val="single" w:sz="4" w:space="0" w:color="000000"/>
              <w:left w:val="single" w:sz="4" w:space="0" w:color="000000"/>
              <w:bottom w:val="single" w:sz="4" w:space="0" w:color="000000"/>
              <w:right w:val="single" w:sz="4" w:space="0" w:color="000000"/>
            </w:tcBorders>
          </w:tcPr>
          <w:p w14:paraId="57370245" w14:textId="77777777" w:rsidR="005B1006" w:rsidRDefault="005B1006" w:rsidP="00A250AE">
            <w:pPr>
              <w:spacing w:after="0" w:line="259" w:lineRule="auto"/>
              <w:ind w:left="65" w:firstLine="0"/>
            </w:pPr>
            <w:r>
              <w:t xml:space="preserve">≥ 30 līdz ≤ 50 </w:t>
            </w:r>
          </w:p>
        </w:tc>
        <w:tc>
          <w:tcPr>
            <w:tcW w:w="2410" w:type="dxa"/>
            <w:tcBorders>
              <w:top w:val="single" w:sz="4" w:space="0" w:color="000000"/>
              <w:left w:val="single" w:sz="4" w:space="0" w:color="000000"/>
              <w:bottom w:val="single" w:sz="4" w:space="0" w:color="000000"/>
              <w:right w:val="single" w:sz="4" w:space="0" w:color="000000"/>
            </w:tcBorders>
          </w:tcPr>
          <w:p w14:paraId="745EE5F5" w14:textId="77777777" w:rsidR="005B1006" w:rsidRDefault="005B1006" w:rsidP="00A250AE">
            <w:pPr>
              <w:spacing w:after="54" w:line="259" w:lineRule="auto"/>
              <w:ind w:left="92" w:firstLine="0"/>
              <w:jc w:val="center"/>
            </w:pPr>
            <w:r>
              <w:t xml:space="preserve">2,92 </w:t>
            </w:r>
          </w:p>
          <w:p w14:paraId="77A8E07C" w14:textId="77777777" w:rsidR="005B1006" w:rsidRDefault="005B1006" w:rsidP="00A250AE">
            <w:pPr>
              <w:spacing w:after="0" w:line="259" w:lineRule="auto"/>
              <w:ind w:left="92" w:firstLine="0"/>
              <w:jc w:val="center"/>
            </w:pPr>
            <w:r>
              <w:t xml:space="preserve">[0,33–5,88] </w:t>
            </w:r>
          </w:p>
        </w:tc>
        <w:tc>
          <w:tcPr>
            <w:tcW w:w="2409" w:type="dxa"/>
            <w:tcBorders>
              <w:top w:val="single" w:sz="4" w:space="0" w:color="000000"/>
              <w:left w:val="single" w:sz="4" w:space="0" w:color="000000"/>
              <w:bottom w:val="single" w:sz="4" w:space="0" w:color="000000"/>
              <w:right w:val="single" w:sz="4" w:space="0" w:color="000000"/>
            </w:tcBorders>
          </w:tcPr>
          <w:p w14:paraId="24B8F840" w14:textId="77777777" w:rsidR="005B1006" w:rsidRDefault="005B1006" w:rsidP="00A250AE">
            <w:pPr>
              <w:spacing w:after="54" w:line="259" w:lineRule="auto"/>
              <w:ind w:left="92" w:firstLine="0"/>
              <w:jc w:val="center"/>
            </w:pPr>
            <w:r>
              <w:t xml:space="preserve">0,53 </w:t>
            </w:r>
          </w:p>
          <w:p w14:paraId="671864D2" w14:textId="77777777" w:rsidR="005B1006" w:rsidRDefault="005B1006" w:rsidP="00A250AE">
            <w:pPr>
              <w:spacing w:after="0" w:line="259" w:lineRule="auto"/>
              <w:ind w:left="92" w:firstLine="0"/>
              <w:jc w:val="center"/>
            </w:pPr>
            <w:r>
              <w:t xml:space="preserve">[0,11–2,06] </w:t>
            </w:r>
          </w:p>
        </w:tc>
      </w:tr>
      <w:tr w:rsidR="005B1006" w14:paraId="3710A165" w14:textId="77777777" w:rsidTr="00A250AE">
        <w:trPr>
          <w:trHeight w:val="552"/>
        </w:trPr>
        <w:tc>
          <w:tcPr>
            <w:tcW w:w="1718" w:type="dxa"/>
            <w:vMerge w:val="restart"/>
            <w:tcBorders>
              <w:top w:val="single" w:sz="4" w:space="0" w:color="000000"/>
              <w:left w:val="single" w:sz="4" w:space="0" w:color="000000"/>
              <w:bottom w:val="single" w:sz="4" w:space="0" w:color="000000"/>
              <w:right w:val="single" w:sz="4" w:space="0" w:color="000000"/>
            </w:tcBorders>
          </w:tcPr>
          <w:p w14:paraId="2356F7DB" w14:textId="77777777" w:rsidR="005B1006" w:rsidRDefault="005B1006" w:rsidP="00A250AE">
            <w:pPr>
              <w:spacing w:after="0" w:line="259" w:lineRule="auto"/>
              <w:ind w:left="0" w:firstLine="0"/>
            </w:pPr>
            <w:r>
              <w:t>60 mg vienreiz dienā</w:t>
            </w:r>
            <w:r>
              <w:rPr>
                <w:vertAlign w:val="superscript"/>
              </w:rPr>
              <w:t>*</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A6F3EE9" w14:textId="77777777" w:rsidR="005B1006" w:rsidRDefault="005B1006" w:rsidP="00A250AE">
            <w:pPr>
              <w:spacing w:after="0" w:line="259" w:lineRule="auto"/>
              <w:ind w:left="65" w:firstLine="0"/>
            </w:pPr>
            <w:r>
              <w:t xml:space="preserve">&gt; 50 līdz ≤ 70 </w:t>
            </w:r>
          </w:p>
        </w:tc>
        <w:tc>
          <w:tcPr>
            <w:tcW w:w="2410" w:type="dxa"/>
            <w:tcBorders>
              <w:top w:val="single" w:sz="4" w:space="0" w:color="000000"/>
              <w:left w:val="single" w:sz="4" w:space="0" w:color="000000"/>
              <w:bottom w:val="single" w:sz="4" w:space="0" w:color="000000"/>
              <w:right w:val="single" w:sz="4" w:space="0" w:color="000000"/>
            </w:tcBorders>
          </w:tcPr>
          <w:p w14:paraId="78CD4CE1" w14:textId="77777777" w:rsidR="005B1006" w:rsidRDefault="005B1006" w:rsidP="00A250AE">
            <w:pPr>
              <w:spacing w:after="54" w:line="259" w:lineRule="auto"/>
              <w:ind w:left="92" w:firstLine="0"/>
              <w:jc w:val="center"/>
            </w:pPr>
            <w:r>
              <w:t xml:space="preserve">4,52 </w:t>
            </w:r>
          </w:p>
          <w:p w14:paraId="770B4494" w14:textId="77777777" w:rsidR="005B1006" w:rsidRDefault="005B1006" w:rsidP="00A250AE">
            <w:pPr>
              <w:spacing w:after="0" w:line="259" w:lineRule="auto"/>
              <w:ind w:left="92" w:firstLine="0"/>
              <w:jc w:val="center"/>
            </w:pPr>
            <w:r>
              <w:t xml:space="preserve">[0,38–7,64] </w:t>
            </w:r>
          </w:p>
        </w:tc>
        <w:tc>
          <w:tcPr>
            <w:tcW w:w="2409" w:type="dxa"/>
            <w:tcBorders>
              <w:top w:val="single" w:sz="4" w:space="0" w:color="000000"/>
              <w:left w:val="single" w:sz="4" w:space="0" w:color="000000"/>
              <w:bottom w:val="single" w:sz="4" w:space="0" w:color="000000"/>
              <w:right w:val="single" w:sz="4" w:space="0" w:color="000000"/>
            </w:tcBorders>
          </w:tcPr>
          <w:p w14:paraId="0652D0E3" w14:textId="77777777" w:rsidR="005B1006" w:rsidRDefault="005B1006" w:rsidP="00A250AE">
            <w:pPr>
              <w:spacing w:after="54" w:line="259" w:lineRule="auto"/>
              <w:ind w:left="92" w:firstLine="0"/>
              <w:jc w:val="center"/>
            </w:pPr>
            <w:r>
              <w:t xml:space="preserve">0,83 </w:t>
            </w:r>
          </w:p>
          <w:p w14:paraId="32245654" w14:textId="77777777" w:rsidR="005B1006" w:rsidRDefault="005B1006" w:rsidP="00A250AE">
            <w:pPr>
              <w:spacing w:after="0" w:line="259" w:lineRule="auto"/>
              <w:ind w:left="92" w:firstLine="0"/>
              <w:jc w:val="center"/>
            </w:pPr>
            <w:r>
              <w:t xml:space="preserve">[0,16–2,61] </w:t>
            </w:r>
          </w:p>
        </w:tc>
      </w:tr>
      <w:tr w:rsidR="005B1006" w14:paraId="0B04B42D" w14:textId="77777777" w:rsidTr="00A250AE">
        <w:trPr>
          <w:trHeight w:val="552"/>
        </w:trPr>
        <w:tc>
          <w:tcPr>
            <w:tcW w:w="0" w:type="auto"/>
            <w:vMerge/>
            <w:tcBorders>
              <w:top w:val="nil"/>
              <w:left w:val="single" w:sz="4" w:space="0" w:color="000000"/>
              <w:bottom w:val="nil"/>
              <w:right w:val="single" w:sz="4" w:space="0" w:color="000000"/>
            </w:tcBorders>
          </w:tcPr>
          <w:p w14:paraId="140C611B"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39F6123D" w14:textId="77777777" w:rsidR="005B1006" w:rsidRDefault="005B1006" w:rsidP="00A250AE">
            <w:pPr>
              <w:spacing w:after="0" w:line="259" w:lineRule="auto"/>
              <w:ind w:left="65" w:firstLine="0"/>
            </w:pPr>
            <w:r>
              <w:t xml:space="preserve">&gt; 70 līdz ≤ 90 </w:t>
            </w:r>
          </w:p>
        </w:tc>
        <w:tc>
          <w:tcPr>
            <w:tcW w:w="2410" w:type="dxa"/>
            <w:tcBorders>
              <w:top w:val="single" w:sz="4" w:space="0" w:color="000000"/>
              <w:left w:val="single" w:sz="4" w:space="0" w:color="000000"/>
              <w:bottom w:val="single" w:sz="4" w:space="0" w:color="000000"/>
              <w:right w:val="single" w:sz="4" w:space="0" w:color="000000"/>
            </w:tcBorders>
          </w:tcPr>
          <w:p w14:paraId="3026884D" w14:textId="77777777" w:rsidR="005B1006" w:rsidRDefault="005B1006" w:rsidP="00A250AE">
            <w:pPr>
              <w:spacing w:after="54" w:line="259" w:lineRule="auto"/>
              <w:ind w:left="92" w:firstLine="0"/>
              <w:jc w:val="center"/>
            </w:pPr>
            <w:r>
              <w:t xml:space="preserve">4,12 </w:t>
            </w:r>
          </w:p>
          <w:p w14:paraId="5147B927" w14:textId="77777777" w:rsidR="005B1006" w:rsidRDefault="005B1006" w:rsidP="00A250AE">
            <w:pPr>
              <w:spacing w:after="0" w:line="259" w:lineRule="auto"/>
              <w:ind w:left="92" w:firstLine="0"/>
              <w:jc w:val="center"/>
            </w:pPr>
            <w:r>
              <w:t xml:space="preserve">[0,19–7,55] </w:t>
            </w:r>
          </w:p>
        </w:tc>
        <w:tc>
          <w:tcPr>
            <w:tcW w:w="2409" w:type="dxa"/>
            <w:tcBorders>
              <w:top w:val="single" w:sz="4" w:space="0" w:color="000000"/>
              <w:left w:val="single" w:sz="4" w:space="0" w:color="000000"/>
              <w:bottom w:val="single" w:sz="4" w:space="0" w:color="000000"/>
              <w:right w:val="single" w:sz="4" w:space="0" w:color="000000"/>
            </w:tcBorders>
          </w:tcPr>
          <w:p w14:paraId="4796FC70" w14:textId="77777777" w:rsidR="005B1006" w:rsidRDefault="005B1006" w:rsidP="00A250AE">
            <w:pPr>
              <w:spacing w:after="54" w:line="259" w:lineRule="auto"/>
              <w:ind w:left="92" w:firstLine="0"/>
              <w:jc w:val="center"/>
            </w:pPr>
            <w:r>
              <w:t xml:space="preserve">0,68 </w:t>
            </w:r>
          </w:p>
          <w:p w14:paraId="065F246A" w14:textId="77777777" w:rsidR="005B1006" w:rsidRDefault="005B1006" w:rsidP="00A250AE">
            <w:pPr>
              <w:spacing w:after="0" w:line="259" w:lineRule="auto"/>
              <w:ind w:left="92" w:firstLine="0"/>
              <w:jc w:val="center"/>
            </w:pPr>
            <w:r>
              <w:t xml:space="preserve">[0,05–2,33] </w:t>
            </w:r>
          </w:p>
        </w:tc>
      </w:tr>
      <w:tr w:rsidR="005B1006" w14:paraId="6C1AC0B1" w14:textId="77777777" w:rsidTr="00A250AE">
        <w:trPr>
          <w:trHeight w:val="552"/>
        </w:trPr>
        <w:tc>
          <w:tcPr>
            <w:tcW w:w="0" w:type="auto"/>
            <w:vMerge/>
            <w:tcBorders>
              <w:top w:val="nil"/>
              <w:left w:val="single" w:sz="4" w:space="0" w:color="000000"/>
              <w:bottom w:val="nil"/>
              <w:right w:val="single" w:sz="4" w:space="0" w:color="000000"/>
            </w:tcBorders>
          </w:tcPr>
          <w:p w14:paraId="4E80E8A1"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426950DD" w14:textId="77777777" w:rsidR="005B1006" w:rsidRDefault="005B1006" w:rsidP="00A250AE">
            <w:pPr>
              <w:spacing w:after="0" w:line="259" w:lineRule="auto"/>
              <w:ind w:left="65" w:firstLine="0"/>
            </w:pPr>
            <w:r>
              <w:t xml:space="preserve">&gt; 90 līdz ≤ 110 </w:t>
            </w:r>
          </w:p>
        </w:tc>
        <w:tc>
          <w:tcPr>
            <w:tcW w:w="2410" w:type="dxa"/>
            <w:tcBorders>
              <w:top w:val="single" w:sz="4" w:space="0" w:color="000000"/>
              <w:left w:val="single" w:sz="4" w:space="0" w:color="000000"/>
              <w:bottom w:val="single" w:sz="4" w:space="0" w:color="000000"/>
              <w:right w:val="single" w:sz="4" w:space="0" w:color="000000"/>
            </w:tcBorders>
          </w:tcPr>
          <w:p w14:paraId="5D500919" w14:textId="77777777" w:rsidR="005B1006" w:rsidRDefault="005B1006" w:rsidP="00A250AE">
            <w:pPr>
              <w:spacing w:after="54" w:line="259" w:lineRule="auto"/>
              <w:ind w:left="92" w:firstLine="0"/>
              <w:jc w:val="center"/>
            </w:pPr>
            <w:r>
              <w:t xml:space="preserve">3,82 </w:t>
            </w:r>
          </w:p>
          <w:p w14:paraId="6279E39D" w14:textId="77777777" w:rsidR="005B1006" w:rsidRDefault="005B1006" w:rsidP="00A250AE">
            <w:pPr>
              <w:spacing w:after="0" w:line="259" w:lineRule="auto"/>
              <w:ind w:left="92" w:firstLine="0"/>
              <w:jc w:val="center"/>
            </w:pPr>
            <w:r>
              <w:t xml:space="preserve">[0,36–7,39] </w:t>
            </w:r>
          </w:p>
        </w:tc>
        <w:tc>
          <w:tcPr>
            <w:tcW w:w="2409" w:type="dxa"/>
            <w:tcBorders>
              <w:top w:val="single" w:sz="4" w:space="0" w:color="000000"/>
              <w:left w:val="single" w:sz="4" w:space="0" w:color="000000"/>
              <w:bottom w:val="single" w:sz="4" w:space="0" w:color="000000"/>
              <w:right w:val="single" w:sz="4" w:space="0" w:color="000000"/>
            </w:tcBorders>
          </w:tcPr>
          <w:p w14:paraId="791DEE93" w14:textId="77777777" w:rsidR="005B1006" w:rsidRDefault="005B1006" w:rsidP="00A250AE">
            <w:pPr>
              <w:spacing w:after="54" w:line="259" w:lineRule="auto"/>
              <w:ind w:left="92" w:firstLine="0"/>
              <w:jc w:val="center"/>
            </w:pPr>
            <w:r>
              <w:t xml:space="preserve">0,60 </w:t>
            </w:r>
          </w:p>
          <w:p w14:paraId="0C5676DD" w14:textId="77777777" w:rsidR="005B1006" w:rsidRDefault="005B1006" w:rsidP="00A250AE">
            <w:pPr>
              <w:spacing w:after="0" w:line="259" w:lineRule="auto"/>
              <w:ind w:left="92" w:firstLine="0"/>
              <w:jc w:val="center"/>
            </w:pPr>
            <w:r>
              <w:t xml:space="preserve">[0,14–3,57] </w:t>
            </w:r>
          </w:p>
        </w:tc>
      </w:tr>
      <w:tr w:rsidR="005B1006" w14:paraId="54B46E19" w14:textId="77777777" w:rsidTr="00A250AE">
        <w:trPr>
          <w:trHeight w:val="552"/>
        </w:trPr>
        <w:tc>
          <w:tcPr>
            <w:tcW w:w="0" w:type="auto"/>
            <w:vMerge/>
            <w:tcBorders>
              <w:top w:val="nil"/>
              <w:left w:val="single" w:sz="4" w:space="0" w:color="000000"/>
              <w:bottom w:val="nil"/>
              <w:right w:val="single" w:sz="4" w:space="0" w:color="000000"/>
            </w:tcBorders>
          </w:tcPr>
          <w:p w14:paraId="595F4048"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3631FF45" w14:textId="77777777" w:rsidR="005B1006" w:rsidRDefault="005B1006" w:rsidP="00A250AE">
            <w:pPr>
              <w:spacing w:after="0" w:line="259" w:lineRule="auto"/>
              <w:ind w:left="65" w:firstLine="0"/>
            </w:pPr>
            <w:r>
              <w:t xml:space="preserve">&gt; 110 līdz ≤ 130 </w:t>
            </w:r>
          </w:p>
        </w:tc>
        <w:tc>
          <w:tcPr>
            <w:tcW w:w="2410" w:type="dxa"/>
            <w:tcBorders>
              <w:top w:val="single" w:sz="4" w:space="0" w:color="000000"/>
              <w:left w:val="single" w:sz="4" w:space="0" w:color="000000"/>
              <w:bottom w:val="single" w:sz="4" w:space="0" w:color="000000"/>
              <w:right w:val="single" w:sz="4" w:space="0" w:color="000000"/>
            </w:tcBorders>
          </w:tcPr>
          <w:p w14:paraId="371AD03C" w14:textId="77777777" w:rsidR="005B1006" w:rsidRDefault="005B1006" w:rsidP="00A250AE">
            <w:pPr>
              <w:spacing w:after="54" w:line="259" w:lineRule="auto"/>
              <w:ind w:left="92" w:firstLine="0"/>
              <w:jc w:val="center"/>
            </w:pPr>
            <w:r>
              <w:t xml:space="preserve">3,16 </w:t>
            </w:r>
          </w:p>
          <w:p w14:paraId="1AB3634B" w14:textId="77777777" w:rsidR="005B1006" w:rsidRDefault="005B1006" w:rsidP="00A250AE">
            <w:pPr>
              <w:spacing w:after="0" w:line="259" w:lineRule="auto"/>
              <w:ind w:left="92" w:firstLine="0"/>
              <w:jc w:val="center"/>
            </w:pPr>
            <w:r>
              <w:t xml:space="preserve">[0,28–6,71] </w:t>
            </w:r>
          </w:p>
        </w:tc>
        <w:tc>
          <w:tcPr>
            <w:tcW w:w="2409" w:type="dxa"/>
            <w:tcBorders>
              <w:top w:val="single" w:sz="4" w:space="0" w:color="000000"/>
              <w:left w:val="single" w:sz="4" w:space="0" w:color="000000"/>
              <w:bottom w:val="single" w:sz="4" w:space="0" w:color="000000"/>
              <w:right w:val="single" w:sz="4" w:space="0" w:color="000000"/>
            </w:tcBorders>
          </w:tcPr>
          <w:p w14:paraId="6EF4F163" w14:textId="77777777" w:rsidR="005B1006" w:rsidRDefault="005B1006" w:rsidP="00A250AE">
            <w:pPr>
              <w:spacing w:after="54" w:line="259" w:lineRule="auto"/>
              <w:ind w:left="92" w:firstLine="0"/>
              <w:jc w:val="center"/>
            </w:pPr>
            <w:r>
              <w:t xml:space="preserve">0,41 </w:t>
            </w:r>
          </w:p>
          <w:p w14:paraId="45DD4532" w14:textId="77777777" w:rsidR="005B1006" w:rsidRDefault="005B1006" w:rsidP="00A250AE">
            <w:pPr>
              <w:spacing w:after="0" w:line="259" w:lineRule="auto"/>
              <w:ind w:left="92" w:firstLine="0"/>
              <w:jc w:val="center"/>
            </w:pPr>
            <w:r>
              <w:t xml:space="preserve">[0,15–1,51] </w:t>
            </w:r>
          </w:p>
        </w:tc>
      </w:tr>
      <w:tr w:rsidR="005B1006" w14:paraId="12CE0843" w14:textId="77777777" w:rsidTr="00A250AE">
        <w:trPr>
          <w:trHeight w:val="553"/>
        </w:trPr>
        <w:tc>
          <w:tcPr>
            <w:tcW w:w="0" w:type="auto"/>
            <w:vMerge/>
            <w:tcBorders>
              <w:top w:val="nil"/>
              <w:left w:val="single" w:sz="4" w:space="0" w:color="000000"/>
              <w:bottom w:val="single" w:sz="4" w:space="0" w:color="000000"/>
              <w:right w:val="single" w:sz="4" w:space="0" w:color="000000"/>
            </w:tcBorders>
          </w:tcPr>
          <w:p w14:paraId="28F0943E"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3073DC3A" w14:textId="77777777" w:rsidR="005B1006" w:rsidRDefault="005B1006" w:rsidP="00A250AE">
            <w:pPr>
              <w:spacing w:after="0" w:line="259" w:lineRule="auto"/>
              <w:ind w:left="65" w:firstLine="0"/>
            </w:pPr>
            <w:r>
              <w:t xml:space="preserve">&gt; 130 </w:t>
            </w:r>
          </w:p>
        </w:tc>
        <w:tc>
          <w:tcPr>
            <w:tcW w:w="2410" w:type="dxa"/>
            <w:tcBorders>
              <w:top w:val="single" w:sz="4" w:space="0" w:color="000000"/>
              <w:left w:val="single" w:sz="4" w:space="0" w:color="000000"/>
              <w:bottom w:val="single" w:sz="4" w:space="0" w:color="000000"/>
              <w:right w:val="single" w:sz="4" w:space="0" w:color="000000"/>
            </w:tcBorders>
          </w:tcPr>
          <w:p w14:paraId="67D45E68" w14:textId="77777777" w:rsidR="005B1006" w:rsidRDefault="005B1006" w:rsidP="00A250AE">
            <w:pPr>
              <w:spacing w:after="54" w:line="259" w:lineRule="auto"/>
              <w:ind w:left="92" w:firstLine="0"/>
              <w:jc w:val="center"/>
            </w:pPr>
            <w:r>
              <w:t xml:space="preserve">2,76 </w:t>
            </w:r>
          </w:p>
          <w:p w14:paraId="5936A49B" w14:textId="77777777" w:rsidR="005B1006" w:rsidRDefault="005B1006" w:rsidP="00A250AE">
            <w:pPr>
              <w:spacing w:after="0" w:line="259" w:lineRule="auto"/>
              <w:ind w:left="92" w:firstLine="0"/>
              <w:jc w:val="center"/>
            </w:pPr>
            <w:r>
              <w:t xml:space="preserve">[0,12–6,10] </w:t>
            </w:r>
          </w:p>
        </w:tc>
        <w:tc>
          <w:tcPr>
            <w:tcW w:w="2409" w:type="dxa"/>
            <w:tcBorders>
              <w:top w:val="single" w:sz="4" w:space="0" w:color="000000"/>
              <w:left w:val="single" w:sz="4" w:space="0" w:color="000000"/>
              <w:bottom w:val="single" w:sz="4" w:space="0" w:color="000000"/>
              <w:right w:val="single" w:sz="4" w:space="0" w:color="000000"/>
            </w:tcBorders>
          </w:tcPr>
          <w:p w14:paraId="2055AC92" w14:textId="77777777" w:rsidR="005B1006" w:rsidRDefault="005B1006" w:rsidP="00A250AE">
            <w:pPr>
              <w:spacing w:after="54" w:line="259" w:lineRule="auto"/>
              <w:ind w:left="92" w:firstLine="0"/>
              <w:jc w:val="center"/>
            </w:pPr>
            <w:r>
              <w:t xml:space="preserve">0,45 </w:t>
            </w:r>
          </w:p>
          <w:p w14:paraId="11CA23D9" w14:textId="77777777" w:rsidR="005B1006" w:rsidRDefault="005B1006" w:rsidP="00A250AE">
            <w:pPr>
              <w:spacing w:after="0" w:line="259" w:lineRule="auto"/>
              <w:ind w:left="92" w:firstLine="0"/>
              <w:jc w:val="center"/>
            </w:pPr>
            <w:r>
              <w:t xml:space="preserve">[0,00–3,10] </w:t>
            </w:r>
          </w:p>
        </w:tc>
      </w:tr>
      <w:tr w:rsidR="005B1006" w14:paraId="2BBB827E" w14:textId="77777777" w:rsidTr="00A250AE">
        <w:trPr>
          <w:trHeight w:val="290"/>
        </w:trPr>
        <w:tc>
          <w:tcPr>
            <w:tcW w:w="823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51FB04F" w14:textId="77777777" w:rsidR="005B1006" w:rsidRDefault="005B1006" w:rsidP="00A250AE">
            <w:pPr>
              <w:spacing w:after="0" w:line="259" w:lineRule="auto"/>
              <w:ind w:left="0" w:firstLine="0"/>
            </w:pPr>
            <w:r>
              <w:t xml:space="preserve">DVT ārstēšana, PE ārstēšana un atkārtotas DVT un PE (VTE) profilakse </w:t>
            </w:r>
          </w:p>
        </w:tc>
      </w:tr>
      <w:tr w:rsidR="005B1006" w14:paraId="259D60C4" w14:textId="77777777" w:rsidTr="00A250AE">
        <w:trPr>
          <w:trHeight w:val="560"/>
        </w:trPr>
        <w:tc>
          <w:tcPr>
            <w:tcW w:w="1718" w:type="dxa"/>
            <w:tcBorders>
              <w:top w:val="single" w:sz="4" w:space="0" w:color="000000"/>
              <w:left w:val="single" w:sz="4" w:space="0" w:color="000000"/>
              <w:bottom w:val="single" w:sz="4" w:space="0" w:color="000000"/>
              <w:right w:val="single" w:sz="4" w:space="0" w:color="000000"/>
            </w:tcBorders>
          </w:tcPr>
          <w:p w14:paraId="5389F3AA" w14:textId="77777777" w:rsidR="005B1006" w:rsidRDefault="005B1006" w:rsidP="00A250AE">
            <w:pPr>
              <w:spacing w:after="0" w:line="259" w:lineRule="auto"/>
              <w:ind w:left="0" w:firstLine="0"/>
            </w:pPr>
            <w:r>
              <w:t xml:space="preserve">30 mg vienreiz dienā </w:t>
            </w:r>
          </w:p>
        </w:tc>
        <w:tc>
          <w:tcPr>
            <w:tcW w:w="1701" w:type="dxa"/>
            <w:tcBorders>
              <w:top w:val="single" w:sz="4" w:space="0" w:color="000000"/>
              <w:left w:val="single" w:sz="4" w:space="0" w:color="000000"/>
              <w:bottom w:val="single" w:sz="4" w:space="0" w:color="000000"/>
              <w:right w:val="single" w:sz="4" w:space="0" w:color="000000"/>
            </w:tcBorders>
          </w:tcPr>
          <w:p w14:paraId="6E559D11" w14:textId="77777777" w:rsidR="005B1006" w:rsidRDefault="005B1006" w:rsidP="00A250AE">
            <w:pPr>
              <w:spacing w:after="0" w:line="259" w:lineRule="auto"/>
              <w:ind w:left="65" w:firstLine="0"/>
            </w:pPr>
            <w:r>
              <w:t xml:space="preserve">≥ 30 līdz ≤ 50 </w:t>
            </w:r>
          </w:p>
        </w:tc>
        <w:tc>
          <w:tcPr>
            <w:tcW w:w="2410" w:type="dxa"/>
            <w:tcBorders>
              <w:top w:val="single" w:sz="4" w:space="0" w:color="000000"/>
              <w:left w:val="single" w:sz="4" w:space="0" w:color="000000"/>
              <w:bottom w:val="single" w:sz="4" w:space="0" w:color="000000"/>
              <w:right w:val="single" w:sz="4" w:space="0" w:color="000000"/>
            </w:tcBorders>
          </w:tcPr>
          <w:p w14:paraId="65778CFC" w14:textId="77777777" w:rsidR="005B1006" w:rsidRDefault="005B1006" w:rsidP="00A250AE">
            <w:pPr>
              <w:spacing w:after="54" w:line="259" w:lineRule="auto"/>
              <w:ind w:left="92" w:firstLine="0"/>
              <w:jc w:val="center"/>
            </w:pPr>
            <w:r>
              <w:t xml:space="preserve">2,21 </w:t>
            </w:r>
          </w:p>
          <w:p w14:paraId="36688A78" w14:textId="77777777" w:rsidR="005B1006" w:rsidRDefault="005B1006" w:rsidP="00A250AE">
            <w:pPr>
              <w:spacing w:after="0" w:line="259" w:lineRule="auto"/>
              <w:ind w:left="92" w:firstLine="0"/>
              <w:jc w:val="center"/>
            </w:pPr>
            <w:r>
              <w:t xml:space="preserve">[0,14–4,47] </w:t>
            </w:r>
          </w:p>
        </w:tc>
        <w:tc>
          <w:tcPr>
            <w:tcW w:w="2409" w:type="dxa"/>
            <w:tcBorders>
              <w:top w:val="single" w:sz="4" w:space="0" w:color="000000"/>
              <w:left w:val="single" w:sz="4" w:space="0" w:color="000000"/>
              <w:bottom w:val="single" w:sz="4" w:space="0" w:color="000000"/>
              <w:right w:val="single" w:sz="4" w:space="0" w:color="000000"/>
            </w:tcBorders>
          </w:tcPr>
          <w:p w14:paraId="6394FF26" w14:textId="77777777" w:rsidR="005B1006" w:rsidRDefault="005B1006" w:rsidP="00A250AE">
            <w:pPr>
              <w:spacing w:after="54" w:line="259" w:lineRule="auto"/>
              <w:ind w:left="92" w:firstLine="0"/>
              <w:jc w:val="center"/>
            </w:pPr>
            <w:r>
              <w:t xml:space="preserve">0,22 </w:t>
            </w:r>
          </w:p>
          <w:p w14:paraId="660D41AC" w14:textId="77777777" w:rsidR="005B1006" w:rsidRDefault="005B1006" w:rsidP="00A250AE">
            <w:pPr>
              <w:spacing w:after="0" w:line="259" w:lineRule="auto"/>
              <w:ind w:left="92" w:firstLine="0"/>
              <w:jc w:val="center"/>
            </w:pPr>
            <w:r>
              <w:t xml:space="preserve">[0,00–1,09] </w:t>
            </w:r>
          </w:p>
        </w:tc>
      </w:tr>
      <w:tr w:rsidR="005B1006" w14:paraId="1A3C32B7" w14:textId="77777777" w:rsidTr="00A250AE">
        <w:trPr>
          <w:trHeight w:val="552"/>
        </w:trPr>
        <w:tc>
          <w:tcPr>
            <w:tcW w:w="1718" w:type="dxa"/>
            <w:vMerge w:val="restart"/>
            <w:tcBorders>
              <w:top w:val="single" w:sz="4" w:space="0" w:color="000000"/>
              <w:left w:val="single" w:sz="4" w:space="0" w:color="000000"/>
              <w:bottom w:val="single" w:sz="4" w:space="0" w:color="000000"/>
              <w:right w:val="single" w:sz="4" w:space="0" w:color="000000"/>
            </w:tcBorders>
          </w:tcPr>
          <w:p w14:paraId="21960DA8" w14:textId="77777777" w:rsidR="005B1006" w:rsidRDefault="005B1006" w:rsidP="00A250AE">
            <w:pPr>
              <w:spacing w:after="0" w:line="259" w:lineRule="auto"/>
              <w:ind w:left="0" w:firstLine="0"/>
            </w:pPr>
            <w:r>
              <w:t>60 mg vienreiz dienā</w:t>
            </w:r>
            <w:r>
              <w:rPr>
                <w:vertAlign w:val="superscript"/>
              </w:rPr>
              <w:t>*</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496A054" w14:textId="77777777" w:rsidR="005B1006" w:rsidRDefault="005B1006" w:rsidP="00A250AE">
            <w:pPr>
              <w:spacing w:after="0" w:line="259" w:lineRule="auto"/>
              <w:ind w:left="65" w:firstLine="0"/>
            </w:pPr>
            <w:r>
              <w:t xml:space="preserve">&gt; 50 līdz ≤ 70 </w:t>
            </w:r>
          </w:p>
        </w:tc>
        <w:tc>
          <w:tcPr>
            <w:tcW w:w="2410" w:type="dxa"/>
            <w:tcBorders>
              <w:top w:val="single" w:sz="4" w:space="0" w:color="000000"/>
              <w:left w:val="single" w:sz="4" w:space="0" w:color="000000"/>
              <w:bottom w:val="single" w:sz="4" w:space="0" w:color="000000"/>
              <w:right w:val="single" w:sz="4" w:space="0" w:color="000000"/>
            </w:tcBorders>
          </w:tcPr>
          <w:p w14:paraId="71917621" w14:textId="77777777" w:rsidR="005B1006" w:rsidRDefault="005B1006" w:rsidP="00A250AE">
            <w:pPr>
              <w:spacing w:after="54" w:line="259" w:lineRule="auto"/>
              <w:ind w:left="92" w:firstLine="0"/>
              <w:jc w:val="center"/>
            </w:pPr>
            <w:r>
              <w:t xml:space="preserve">3,42 </w:t>
            </w:r>
          </w:p>
          <w:p w14:paraId="746DB1FE" w14:textId="77777777" w:rsidR="005B1006" w:rsidRDefault="005B1006" w:rsidP="00A250AE">
            <w:pPr>
              <w:spacing w:after="0" w:line="259" w:lineRule="auto"/>
              <w:ind w:left="92" w:firstLine="0"/>
              <w:jc w:val="center"/>
            </w:pPr>
            <w:r>
              <w:t xml:space="preserve">[0,19–6,13] </w:t>
            </w:r>
          </w:p>
        </w:tc>
        <w:tc>
          <w:tcPr>
            <w:tcW w:w="2409" w:type="dxa"/>
            <w:tcBorders>
              <w:top w:val="single" w:sz="4" w:space="0" w:color="000000"/>
              <w:left w:val="single" w:sz="4" w:space="0" w:color="000000"/>
              <w:bottom w:val="single" w:sz="4" w:space="0" w:color="000000"/>
              <w:right w:val="single" w:sz="4" w:space="0" w:color="000000"/>
            </w:tcBorders>
          </w:tcPr>
          <w:p w14:paraId="2F524D98" w14:textId="77777777" w:rsidR="005B1006" w:rsidRDefault="005B1006" w:rsidP="00A250AE">
            <w:pPr>
              <w:spacing w:after="54" w:line="259" w:lineRule="auto"/>
              <w:ind w:left="92" w:firstLine="0"/>
              <w:jc w:val="center"/>
            </w:pPr>
            <w:r>
              <w:t xml:space="preserve">0,34 </w:t>
            </w:r>
          </w:p>
          <w:p w14:paraId="03777E7D" w14:textId="77777777" w:rsidR="005B1006" w:rsidRDefault="005B1006" w:rsidP="00A250AE">
            <w:pPr>
              <w:spacing w:after="0" w:line="259" w:lineRule="auto"/>
              <w:ind w:left="92" w:firstLine="0"/>
              <w:jc w:val="center"/>
            </w:pPr>
            <w:r>
              <w:t xml:space="preserve">[0,00–3,10] </w:t>
            </w:r>
          </w:p>
        </w:tc>
      </w:tr>
      <w:tr w:rsidR="005B1006" w14:paraId="60EBFA41" w14:textId="77777777" w:rsidTr="00A250AE">
        <w:trPr>
          <w:trHeight w:val="552"/>
        </w:trPr>
        <w:tc>
          <w:tcPr>
            <w:tcW w:w="0" w:type="auto"/>
            <w:vMerge/>
            <w:tcBorders>
              <w:top w:val="nil"/>
              <w:left w:val="single" w:sz="4" w:space="0" w:color="000000"/>
              <w:bottom w:val="nil"/>
              <w:right w:val="single" w:sz="4" w:space="0" w:color="000000"/>
            </w:tcBorders>
          </w:tcPr>
          <w:p w14:paraId="12725DE4"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4888AB46" w14:textId="77777777" w:rsidR="005B1006" w:rsidRDefault="005B1006" w:rsidP="00A250AE">
            <w:pPr>
              <w:spacing w:after="0" w:line="259" w:lineRule="auto"/>
              <w:ind w:left="65" w:firstLine="0"/>
            </w:pPr>
            <w:r>
              <w:t xml:space="preserve">&gt; 70 līdz ≤ 90 </w:t>
            </w:r>
          </w:p>
        </w:tc>
        <w:tc>
          <w:tcPr>
            <w:tcW w:w="2410" w:type="dxa"/>
            <w:tcBorders>
              <w:top w:val="single" w:sz="4" w:space="0" w:color="000000"/>
              <w:left w:val="single" w:sz="4" w:space="0" w:color="000000"/>
              <w:bottom w:val="single" w:sz="4" w:space="0" w:color="000000"/>
              <w:right w:val="single" w:sz="4" w:space="0" w:color="000000"/>
            </w:tcBorders>
          </w:tcPr>
          <w:p w14:paraId="3E1F8627" w14:textId="77777777" w:rsidR="005B1006" w:rsidRDefault="005B1006" w:rsidP="00A250AE">
            <w:pPr>
              <w:spacing w:after="54" w:line="259" w:lineRule="auto"/>
              <w:ind w:left="92" w:firstLine="0"/>
              <w:jc w:val="center"/>
            </w:pPr>
            <w:r>
              <w:t xml:space="preserve">2,97 </w:t>
            </w:r>
          </w:p>
          <w:p w14:paraId="5A6A6B52" w14:textId="77777777" w:rsidR="005B1006" w:rsidRDefault="005B1006" w:rsidP="00A250AE">
            <w:pPr>
              <w:spacing w:after="0" w:line="259" w:lineRule="auto"/>
              <w:ind w:left="92" w:firstLine="0"/>
              <w:jc w:val="center"/>
            </w:pPr>
            <w:r>
              <w:t xml:space="preserve">[0,24–5,82] </w:t>
            </w:r>
          </w:p>
        </w:tc>
        <w:tc>
          <w:tcPr>
            <w:tcW w:w="2409" w:type="dxa"/>
            <w:tcBorders>
              <w:top w:val="single" w:sz="4" w:space="0" w:color="000000"/>
              <w:left w:val="single" w:sz="4" w:space="0" w:color="000000"/>
              <w:bottom w:val="single" w:sz="4" w:space="0" w:color="000000"/>
              <w:right w:val="single" w:sz="4" w:space="0" w:color="000000"/>
            </w:tcBorders>
          </w:tcPr>
          <w:p w14:paraId="3FA40ADF" w14:textId="77777777" w:rsidR="005B1006" w:rsidRDefault="005B1006" w:rsidP="00A250AE">
            <w:pPr>
              <w:spacing w:after="54" w:line="259" w:lineRule="auto"/>
              <w:ind w:left="92" w:firstLine="0"/>
              <w:jc w:val="center"/>
            </w:pPr>
            <w:r>
              <w:t xml:space="preserve">0,24 </w:t>
            </w:r>
          </w:p>
          <w:p w14:paraId="1341DDF0" w14:textId="77777777" w:rsidR="005B1006" w:rsidRDefault="005B1006" w:rsidP="00A250AE">
            <w:pPr>
              <w:spacing w:after="0" w:line="259" w:lineRule="auto"/>
              <w:ind w:left="92" w:firstLine="0"/>
              <w:jc w:val="center"/>
            </w:pPr>
            <w:r>
              <w:t xml:space="preserve">[0,00–1,77] </w:t>
            </w:r>
          </w:p>
        </w:tc>
      </w:tr>
      <w:tr w:rsidR="005B1006" w14:paraId="7B994DBB" w14:textId="77777777" w:rsidTr="00A250AE">
        <w:trPr>
          <w:trHeight w:val="552"/>
        </w:trPr>
        <w:tc>
          <w:tcPr>
            <w:tcW w:w="0" w:type="auto"/>
            <w:vMerge/>
            <w:tcBorders>
              <w:top w:val="nil"/>
              <w:left w:val="single" w:sz="4" w:space="0" w:color="000000"/>
              <w:bottom w:val="nil"/>
              <w:right w:val="single" w:sz="4" w:space="0" w:color="000000"/>
            </w:tcBorders>
          </w:tcPr>
          <w:p w14:paraId="57EC870C"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2805C5BB" w14:textId="77777777" w:rsidR="005B1006" w:rsidRDefault="005B1006" w:rsidP="00A250AE">
            <w:pPr>
              <w:spacing w:after="0" w:line="259" w:lineRule="auto"/>
              <w:ind w:left="65" w:firstLine="0"/>
            </w:pPr>
            <w:r>
              <w:t xml:space="preserve">&gt; 90 līdz ≤ 110 </w:t>
            </w:r>
          </w:p>
        </w:tc>
        <w:tc>
          <w:tcPr>
            <w:tcW w:w="2410" w:type="dxa"/>
            <w:tcBorders>
              <w:top w:val="single" w:sz="4" w:space="0" w:color="000000"/>
              <w:left w:val="single" w:sz="4" w:space="0" w:color="000000"/>
              <w:bottom w:val="single" w:sz="4" w:space="0" w:color="000000"/>
              <w:right w:val="single" w:sz="4" w:space="0" w:color="000000"/>
            </w:tcBorders>
          </w:tcPr>
          <w:p w14:paraId="007F5FC5" w14:textId="77777777" w:rsidR="005B1006" w:rsidRDefault="005B1006" w:rsidP="00A250AE">
            <w:pPr>
              <w:spacing w:after="54" w:line="259" w:lineRule="auto"/>
              <w:ind w:left="92" w:firstLine="0"/>
              <w:jc w:val="center"/>
            </w:pPr>
            <w:r>
              <w:t xml:space="preserve">2,82 </w:t>
            </w:r>
          </w:p>
          <w:p w14:paraId="3189AAF6" w14:textId="77777777" w:rsidR="005B1006" w:rsidRDefault="005B1006" w:rsidP="00A250AE">
            <w:pPr>
              <w:spacing w:after="0" w:line="259" w:lineRule="auto"/>
              <w:ind w:left="92" w:firstLine="0"/>
              <w:jc w:val="center"/>
            </w:pPr>
            <w:r>
              <w:t xml:space="preserve">[0,14–5,31] </w:t>
            </w:r>
          </w:p>
        </w:tc>
        <w:tc>
          <w:tcPr>
            <w:tcW w:w="2409" w:type="dxa"/>
            <w:tcBorders>
              <w:top w:val="single" w:sz="4" w:space="0" w:color="000000"/>
              <w:left w:val="single" w:sz="4" w:space="0" w:color="000000"/>
              <w:bottom w:val="single" w:sz="4" w:space="0" w:color="000000"/>
              <w:right w:val="single" w:sz="4" w:space="0" w:color="000000"/>
            </w:tcBorders>
          </w:tcPr>
          <w:p w14:paraId="09706129" w14:textId="77777777" w:rsidR="005B1006" w:rsidRDefault="005B1006" w:rsidP="00A250AE">
            <w:pPr>
              <w:spacing w:after="54" w:line="259" w:lineRule="auto"/>
              <w:ind w:left="92" w:firstLine="0"/>
              <w:jc w:val="center"/>
            </w:pPr>
            <w:r>
              <w:t xml:space="preserve">0,20 </w:t>
            </w:r>
          </w:p>
          <w:p w14:paraId="374C0CF1" w14:textId="77777777" w:rsidR="005B1006" w:rsidRDefault="005B1006" w:rsidP="00A250AE">
            <w:pPr>
              <w:spacing w:after="0" w:line="259" w:lineRule="auto"/>
              <w:ind w:left="92" w:firstLine="0"/>
              <w:jc w:val="center"/>
            </w:pPr>
            <w:r>
              <w:t xml:space="preserve">[0,00–2,52] </w:t>
            </w:r>
          </w:p>
        </w:tc>
      </w:tr>
      <w:tr w:rsidR="005B1006" w14:paraId="63960C56" w14:textId="77777777" w:rsidTr="00A250AE">
        <w:trPr>
          <w:trHeight w:val="552"/>
        </w:trPr>
        <w:tc>
          <w:tcPr>
            <w:tcW w:w="0" w:type="auto"/>
            <w:vMerge/>
            <w:tcBorders>
              <w:top w:val="nil"/>
              <w:left w:val="single" w:sz="4" w:space="0" w:color="000000"/>
              <w:bottom w:val="nil"/>
              <w:right w:val="single" w:sz="4" w:space="0" w:color="000000"/>
            </w:tcBorders>
          </w:tcPr>
          <w:p w14:paraId="4347EEBA"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399E2FB6" w14:textId="77777777" w:rsidR="005B1006" w:rsidRDefault="005B1006" w:rsidP="00A250AE">
            <w:pPr>
              <w:spacing w:after="0" w:line="259" w:lineRule="auto"/>
              <w:ind w:left="65" w:firstLine="0"/>
            </w:pPr>
            <w:r>
              <w:t xml:space="preserve">&gt; 110 līdz ≤ 130 </w:t>
            </w:r>
          </w:p>
        </w:tc>
        <w:tc>
          <w:tcPr>
            <w:tcW w:w="2410" w:type="dxa"/>
            <w:tcBorders>
              <w:top w:val="single" w:sz="4" w:space="0" w:color="000000"/>
              <w:left w:val="single" w:sz="4" w:space="0" w:color="000000"/>
              <w:bottom w:val="single" w:sz="4" w:space="0" w:color="000000"/>
              <w:right w:val="single" w:sz="4" w:space="0" w:color="000000"/>
            </w:tcBorders>
          </w:tcPr>
          <w:p w14:paraId="0499204E" w14:textId="77777777" w:rsidR="005B1006" w:rsidRDefault="005B1006" w:rsidP="00A250AE">
            <w:pPr>
              <w:spacing w:after="54" w:line="259" w:lineRule="auto"/>
              <w:ind w:left="92" w:firstLine="0"/>
              <w:jc w:val="center"/>
            </w:pPr>
            <w:r>
              <w:t xml:space="preserve">2,64 </w:t>
            </w:r>
          </w:p>
          <w:p w14:paraId="0178F2E2" w14:textId="77777777" w:rsidR="005B1006" w:rsidRDefault="005B1006" w:rsidP="00A250AE">
            <w:pPr>
              <w:spacing w:after="0" w:line="259" w:lineRule="auto"/>
              <w:ind w:left="92" w:firstLine="0"/>
              <w:jc w:val="center"/>
            </w:pPr>
            <w:r>
              <w:t xml:space="preserve">[0,13–5,57] </w:t>
            </w:r>
          </w:p>
        </w:tc>
        <w:tc>
          <w:tcPr>
            <w:tcW w:w="2409" w:type="dxa"/>
            <w:tcBorders>
              <w:top w:val="single" w:sz="4" w:space="0" w:color="000000"/>
              <w:left w:val="single" w:sz="4" w:space="0" w:color="000000"/>
              <w:bottom w:val="single" w:sz="4" w:space="0" w:color="000000"/>
              <w:right w:val="single" w:sz="4" w:space="0" w:color="000000"/>
            </w:tcBorders>
          </w:tcPr>
          <w:p w14:paraId="180A7177" w14:textId="77777777" w:rsidR="005B1006" w:rsidRDefault="005B1006" w:rsidP="00A250AE">
            <w:pPr>
              <w:spacing w:after="54" w:line="259" w:lineRule="auto"/>
              <w:ind w:left="92" w:firstLine="0"/>
              <w:jc w:val="center"/>
            </w:pPr>
            <w:r>
              <w:t xml:space="preserve">0,17 </w:t>
            </w:r>
          </w:p>
          <w:p w14:paraId="63AF9FE5" w14:textId="77777777" w:rsidR="005B1006" w:rsidRDefault="005B1006" w:rsidP="00A250AE">
            <w:pPr>
              <w:spacing w:after="0" w:line="259" w:lineRule="auto"/>
              <w:ind w:left="92" w:firstLine="0"/>
              <w:jc w:val="center"/>
            </w:pPr>
            <w:r>
              <w:t xml:space="preserve">[0,00–1,86] </w:t>
            </w:r>
          </w:p>
        </w:tc>
      </w:tr>
      <w:tr w:rsidR="005B1006" w14:paraId="326B8762" w14:textId="77777777" w:rsidTr="00A250AE">
        <w:trPr>
          <w:trHeight w:val="552"/>
        </w:trPr>
        <w:tc>
          <w:tcPr>
            <w:tcW w:w="0" w:type="auto"/>
            <w:vMerge/>
            <w:tcBorders>
              <w:top w:val="nil"/>
              <w:left w:val="single" w:sz="4" w:space="0" w:color="000000"/>
              <w:bottom w:val="single" w:sz="4" w:space="0" w:color="000000"/>
              <w:right w:val="single" w:sz="4" w:space="0" w:color="000000"/>
            </w:tcBorders>
          </w:tcPr>
          <w:p w14:paraId="0E64363B" w14:textId="77777777" w:rsidR="005B1006" w:rsidRDefault="005B1006" w:rsidP="00A250A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358139FE" w14:textId="77777777" w:rsidR="005B1006" w:rsidRDefault="005B1006" w:rsidP="00A250AE">
            <w:pPr>
              <w:spacing w:after="0" w:line="259" w:lineRule="auto"/>
              <w:ind w:left="65" w:firstLine="0"/>
            </w:pPr>
            <w:r>
              <w:t xml:space="preserve">&gt; 130 </w:t>
            </w:r>
          </w:p>
        </w:tc>
        <w:tc>
          <w:tcPr>
            <w:tcW w:w="2410" w:type="dxa"/>
            <w:tcBorders>
              <w:top w:val="single" w:sz="4" w:space="0" w:color="000000"/>
              <w:left w:val="single" w:sz="4" w:space="0" w:color="000000"/>
              <w:bottom w:val="single" w:sz="4" w:space="0" w:color="000000"/>
              <w:right w:val="single" w:sz="4" w:space="0" w:color="000000"/>
            </w:tcBorders>
          </w:tcPr>
          <w:p w14:paraId="399AA6D5" w14:textId="77777777" w:rsidR="005B1006" w:rsidRDefault="005B1006" w:rsidP="00A250AE">
            <w:pPr>
              <w:spacing w:after="54" w:line="259" w:lineRule="auto"/>
              <w:ind w:left="92" w:firstLine="0"/>
              <w:jc w:val="center"/>
            </w:pPr>
            <w:r>
              <w:t xml:space="preserve">2,39 </w:t>
            </w:r>
          </w:p>
          <w:p w14:paraId="7CFEFFE2" w14:textId="77777777" w:rsidR="005B1006" w:rsidRDefault="005B1006" w:rsidP="00A250AE">
            <w:pPr>
              <w:spacing w:after="0" w:line="259" w:lineRule="auto"/>
              <w:ind w:left="92" w:firstLine="0"/>
              <w:jc w:val="center"/>
            </w:pPr>
            <w:r>
              <w:t xml:space="preserve">[0,10–4,92] </w:t>
            </w:r>
          </w:p>
        </w:tc>
        <w:tc>
          <w:tcPr>
            <w:tcW w:w="2409" w:type="dxa"/>
            <w:tcBorders>
              <w:top w:val="single" w:sz="4" w:space="0" w:color="000000"/>
              <w:left w:val="single" w:sz="4" w:space="0" w:color="000000"/>
              <w:bottom w:val="single" w:sz="4" w:space="0" w:color="000000"/>
              <w:right w:val="single" w:sz="4" w:space="0" w:color="000000"/>
            </w:tcBorders>
          </w:tcPr>
          <w:p w14:paraId="5DAB7E61" w14:textId="77777777" w:rsidR="005B1006" w:rsidRDefault="005B1006" w:rsidP="00A250AE">
            <w:pPr>
              <w:spacing w:after="54" w:line="259" w:lineRule="auto"/>
              <w:ind w:left="92" w:firstLine="0"/>
              <w:jc w:val="center"/>
            </w:pPr>
            <w:r>
              <w:t xml:space="preserve">0,13 </w:t>
            </w:r>
          </w:p>
          <w:p w14:paraId="171C440E" w14:textId="77777777" w:rsidR="005B1006" w:rsidRDefault="005B1006" w:rsidP="00A250AE">
            <w:pPr>
              <w:spacing w:after="0" w:line="259" w:lineRule="auto"/>
              <w:ind w:left="92" w:firstLine="0"/>
              <w:jc w:val="center"/>
            </w:pPr>
            <w:r>
              <w:t xml:space="preserve">[0,00–2,43] </w:t>
            </w:r>
          </w:p>
        </w:tc>
      </w:tr>
    </w:tbl>
    <w:p w14:paraId="62357A37" w14:textId="77777777" w:rsidR="005B1006" w:rsidRDefault="005B1006" w:rsidP="005B1006">
      <w:pPr>
        <w:spacing w:line="326" w:lineRule="auto"/>
        <w:ind w:left="-10" w:right="8"/>
      </w:pPr>
      <w:r>
        <w:rPr>
          <w:vertAlign w:val="superscript"/>
        </w:rPr>
        <w:t>*</w:t>
      </w:r>
      <w:r>
        <w:t xml:space="preserve">Devas samazināšana līdz 30 mg, ja ķermeņa masa bija ≤ 60 kg vai specifisku vienlaicīgi lietotu zāļu, P-gp inhibitoru dēļ. </w:t>
      </w:r>
    </w:p>
    <w:p w14:paraId="389E71FD" w14:textId="77777777" w:rsidR="005B1006" w:rsidRDefault="005B1006" w:rsidP="005B1006">
      <w:pPr>
        <w:ind w:left="-10" w:right="8"/>
      </w:pPr>
      <w:r>
        <w:t xml:space="preserve">Lai gan ārstēšana ar edoksabānu neprasa regulāru novērošanu, pretkoagulācijas iedarbību var novērtēt, izmantojot kalibrētu kvantitatīvu anti-FXa testu, kas var būt noderīgs ārkārtas situācijās, kad zināšanas par edoksabāna iedarbību var palīdzēt kā informācijas avots klīnisku lēmumu pieņemšanā noteiktās situācijās, piemēram, pārdozēšanas vai akūtas ķirurģiskas operācijas gadījumā (skatīt arī 4.4. apakšpunktu). </w:t>
      </w:r>
    </w:p>
    <w:p w14:paraId="3187C0DE" w14:textId="77777777" w:rsidR="005B1006" w:rsidRDefault="005B1006" w:rsidP="005B1006">
      <w:pPr>
        <w:spacing w:after="46" w:line="259" w:lineRule="auto"/>
        <w:ind w:firstLine="0"/>
      </w:pPr>
      <w:r>
        <w:t xml:space="preserve"> </w:t>
      </w:r>
    </w:p>
    <w:p w14:paraId="3FFEC2D7" w14:textId="77777777" w:rsidR="005B1006" w:rsidRDefault="005B1006" w:rsidP="005B1006">
      <w:pPr>
        <w:ind w:left="-10" w:right="8"/>
      </w:pPr>
      <w:r>
        <w:t xml:space="preserve">4 stundas ilga hemodialīzes sesija kopējo edoksabāna iedarbību vājināja par mazāk nekā 9%. </w:t>
      </w:r>
    </w:p>
    <w:p w14:paraId="2B8582CE" w14:textId="77777777" w:rsidR="005B1006" w:rsidRDefault="005B1006" w:rsidP="005B1006">
      <w:pPr>
        <w:spacing w:after="50" w:line="259" w:lineRule="auto"/>
        <w:ind w:firstLine="0"/>
      </w:pPr>
      <w:r>
        <w:t xml:space="preserve"> </w:t>
      </w:r>
    </w:p>
    <w:p w14:paraId="3BF7E45D" w14:textId="77777777" w:rsidR="005B1006" w:rsidRDefault="005B1006" w:rsidP="005B1006">
      <w:pPr>
        <w:pStyle w:val="Heading3"/>
        <w:ind w:left="-1"/>
      </w:pPr>
      <w:r>
        <w:t xml:space="preserve">Aknu darbības traucējumi </w:t>
      </w:r>
    </w:p>
    <w:p w14:paraId="3000A139" w14:textId="77777777" w:rsidR="005B1006" w:rsidRDefault="005B1006" w:rsidP="005B1006">
      <w:pPr>
        <w:ind w:left="-10" w:right="8"/>
      </w:pPr>
      <w:r>
        <w:t xml:space="preserve">Pacientiem ar viegliem vai vidēji smagiem aknu darbības traucējumiem un atbilstīgu veselu cilvēku kontroles grupai farmakokinētika un farmakodinamika bija salīdzināma. Edoksabāns nav pētīts pacientiem ar smagiem aknu darbības traucējumiem (skatīt 4.2. apakšpunktu). </w:t>
      </w:r>
    </w:p>
    <w:p w14:paraId="2335CE97" w14:textId="77777777" w:rsidR="005B1006" w:rsidRDefault="005B1006" w:rsidP="005B1006">
      <w:pPr>
        <w:spacing w:after="47" w:line="259" w:lineRule="auto"/>
        <w:ind w:firstLine="0"/>
      </w:pPr>
      <w:r>
        <w:t xml:space="preserve"> </w:t>
      </w:r>
    </w:p>
    <w:p w14:paraId="62434A40" w14:textId="77777777" w:rsidR="005B1006" w:rsidRDefault="005B1006" w:rsidP="005B1006">
      <w:pPr>
        <w:pStyle w:val="Heading3"/>
        <w:ind w:left="-1"/>
      </w:pPr>
      <w:r>
        <w:t xml:space="preserve">Dzimums </w:t>
      </w:r>
    </w:p>
    <w:p w14:paraId="4A845975" w14:textId="77777777" w:rsidR="005B1006" w:rsidRDefault="005B1006" w:rsidP="005B1006">
      <w:pPr>
        <w:spacing w:line="321" w:lineRule="auto"/>
        <w:ind w:left="-10" w:right="8"/>
      </w:pPr>
      <w:r>
        <w:t xml:space="preserve">Atbilstīgi populācijas farmakokinētikas datu analīzes rezultātiem 3. fāzes pētījumā par NVPM („ENGAGE AF-TIMI 48”) pēc tam, kad bija ņemta vērā ķermeņa masa, dzimums edoksabāna farmakokinētiku papildus klīniski nozīmīgi neietekmēja. </w:t>
      </w:r>
    </w:p>
    <w:p w14:paraId="5268C009" w14:textId="77777777" w:rsidR="005B1006" w:rsidRDefault="005B1006" w:rsidP="005B1006">
      <w:pPr>
        <w:spacing w:after="49" w:line="259" w:lineRule="auto"/>
        <w:ind w:firstLine="0"/>
      </w:pPr>
      <w:r>
        <w:t xml:space="preserve"> </w:t>
      </w:r>
    </w:p>
    <w:p w14:paraId="179BEDA4" w14:textId="77777777" w:rsidR="005B1006" w:rsidRDefault="005B1006" w:rsidP="005B1006">
      <w:pPr>
        <w:pStyle w:val="Heading3"/>
        <w:ind w:left="-1"/>
      </w:pPr>
      <w:r>
        <w:t xml:space="preserve">Etniskā piederība </w:t>
      </w:r>
    </w:p>
    <w:p w14:paraId="53F87449" w14:textId="77777777" w:rsidR="005B1006" w:rsidRDefault="005B1006" w:rsidP="005B1006">
      <w:pPr>
        <w:spacing w:line="322" w:lineRule="auto"/>
        <w:ind w:left="-10" w:right="8"/>
      </w:pPr>
      <w:r>
        <w:t xml:space="preserve">Atbilstīgi populācijas farmakokinētikas datu analīzes rezultātiem pētījumā „ENGAGE AF-TIMI 48” maksimālā un kopējā iedarbība aziātu izcelsmes un ne aziātu izcelsmes pacientiem bija salīdzināma. </w:t>
      </w:r>
    </w:p>
    <w:p w14:paraId="7D91E7D6" w14:textId="77777777" w:rsidR="005B1006" w:rsidRDefault="005B1006" w:rsidP="005B1006">
      <w:pPr>
        <w:spacing w:after="49" w:line="259" w:lineRule="auto"/>
        <w:ind w:left="3" w:firstLine="0"/>
      </w:pPr>
      <w:r>
        <w:t xml:space="preserve"> </w:t>
      </w:r>
    </w:p>
    <w:p w14:paraId="6177FC58" w14:textId="77777777" w:rsidR="005B1006" w:rsidRDefault="005B1006" w:rsidP="005B1006">
      <w:pPr>
        <w:pStyle w:val="Heading3"/>
        <w:ind w:left="-1"/>
      </w:pPr>
      <w:r>
        <w:t xml:space="preserve">Ķermeņa masa </w:t>
      </w:r>
    </w:p>
    <w:p w14:paraId="5318A2B2" w14:textId="77777777" w:rsidR="005B1006" w:rsidRDefault="005B1006" w:rsidP="005B1006">
      <w:pPr>
        <w:spacing w:line="326" w:lineRule="auto"/>
        <w:ind w:left="-10" w:right="8"/>
      </w:pPr>
      <w:r>
        <w:t>Atbilstīgi populācijas farmakokinētikas datu analīzes rezultātiem pētījumā „ENGAGE AF-TIMI 48” par NVPM C</w:t>
      </w:r>
      <w:r>
        <w:rPr>
          <w:sz w:val="14"/>
        </w:rPr>
        <w:t>max</w:t>
      </w:r>
      <w:r>
        <w:t xml:space="preserve"> un AUC pacientiem ar vidējo mazu ķermeņa masu (55 kg) bija attiecīgi par 40% un </w:t>
      </w:r>
    </w:p>
    <w:p w14:paraId="732661A0" w14:textId="77777777" w:rsidR="005B1006" w:rsidRDefault="005B1006" w:rsidP="005B1006">
      <w:pPr>
        <w:spacing w:line="322" w:lineRule="auto"/>
        <w:ind w:left="-10" w:right="8"/>
      </w:pPr>
      <w:r>
        <w:t xml:space="preserve">13% lielāks nekā pacientiem ar vidējo lielu ķermeņa masu (84 kg). 3. fāzes klīniskajos pētījumos (gan NVPM, gan VTE indikācijai) pacientiem ar ķermeņa masu ≤60 kg edoksabāna devu samazināja par 50% un salīdzinājumā ar varfarīnu efektivitāte bija līdzīga un asiņošana mazāka. </w:t>
      </w:r>
    </w:p>
    <w:p w14:paraId="227C2499" w14:textId="77777777" w:rsidR="005B1006" w:rsidRDefault="005B1006" w:rsidP="005B1006">
      <w:pPr>
        <w:spacing w:after="44" w:line="259" w:lineRule="auto"/>
        <w:ind w:firstLine="0"/>
      </w:pPr>
      <w:r>
        <w:t xml:space="preserve"> </w:t>
      </w:r>
    </w:p>
    <w:p w14:paraId="0F94C399" w14:textId="77777777" w:rsidR="005B1006" w:rsidRDefault="005B1006" w:rsidP="005B1006">
      <w:pPr>
        <w:pStyle w:val="Heading2"/>
        <w:spacing w:after="63"/>
        <w:ind w:left="0"/>
      </w:pPr>
      <w:r>
        <w:t>Farmakokinētiskā(-s)/farmakodinamiskā(-s) attiecība(-s)</w:t>
      </w:r>
      <w:r>
        <w:rPr>
          <w:u w:val="none"/>
        </w:rPr>
        <w:t xml:space="preserve"> </w:t>
      </w:r>
    </w:p>
    <w:p w14:paraId="59207908" w14:textId="77777777" w:rsidR="005B1006" w:rsidRDefault="005B1006" w:rsidP="005B1006">
      <w:pPr>
        <w:ind w:left="-10" w:right="8"/>
      </w:pPr>
      <w:r>
        <w:t xml:space="preserve">PL, </w:t>
      </w:r>
      <w:r>
        <w:rPr>
          <w:i/>
        </w:rPr>
        <w:t>INR</w:t>
      </w:r>
      <w:r>
        <w:t xml:space="preserve">, aPTL un anti-FXa ar edoksabāna koncentrāciju korelē lineāri. </w:t>
      </w:r>
    </w:p>
    <w:p w14:paraId="4DD00770" w14:textId="77777777" w:rsidR="005B1006" w:rsidRDefault="005B1006" w:rsidP="005B1006">
      <w:pPr>
        <w:spacing w:after="46" w:line="259" w:lineRule="auto"/>
        <w:ind w:firstLine="0"/>
      </w:pPr>
      <w:r>
        <w:t xml:space="preserve"> </w:t>
      </w:r>
    </w:p>
    <w:p w14:paraId="40BA443B" w14:textId="77777777" w:rsidR="005B1006" w:rsidRDefault="005B1006" w:rsidP="005B1006">
      <w:pPr>
        <w:pStyle w:val="Heading3"/>
        <w:tabs>
          <w:tab w:val="center" w:pos="1986"/>
        </w:tabs>
        <w:spacing w:after="0"/>
        <w:ind w:left="-10" w:firstLine="0"/>
      </w:pPr>
      <w:r>
        <w:rPr>
          <w:b/>
          <w:i w:val="0"/>
        </w:rPr>
        <w:t xml:space="preserve">5.3. </w:t>
      </w:r>
      <w:r>
        <w:rPr>
          <w:b/>
          <w:i w:val="0"/>
        </w:rPr>
        <w:tab/>
        <w:t>Preklīniskie dati par drošumu</w:t>
      </w:r>
      <w:r>
        <w:rPr>
          <w:i w:val="0"/>
        </w:rPr>
        <w:t xml:space="preserve"> </w:t>
      </w:r>
    </w:p>
    <w:p w14:paraId="44D85E87" w14:textId="77777777" w:rsidR="005B1006" w:rsidRDefault="005B1006" w:rsidP="005B1006">
      <w:pPr>
        <w:spacing w:after="0" w:line="259" w:lineRule="auto"/>
        <w:ind w:firstLine="0"/>
      </w:pPr>
      <w:r>
        <w:t xml:space="preserve"> </w:t>
      </w:r>
    </w:p>
    <w:p w14:paraId="3BAF4BBE" w14:textId="77777777" w:rsidR="005B1006" w:rsidRDefault="005B1006" w:rsidP="005B1006">
      <w:pPr>
        <w:spacing w:after="32"/>
        <w:ind w:left="-10" w:right="8"/>
      </w:pPr>
      <w:r>
        <w:t xml:space="preserve">Neklīniskajos standartpētījumos iegūtie dati par farmakoloģisko drošumu, atkārtotu devu toksicitāti, genotoksicitāti, iespējamu kancerogenitāti un fototoksicitāti neliecina par īpašu risku cilvēkam. </w:t>
      </w:r>
    </w:p>
    <w:p w14:paraId="4EF984AD" w14:textId="77777777" w:rsidR="005B1006" w:rsidRDefault="005B1006" w:rsidP="005B1006">
      <w:pPr>
        <w:spacing w:after="50" w:line="259" w:lineRule="auto"/>
        <w:ind w:firstLine="0"/>
      </w:pPr>
      <w:r>
        <w:t xml:space="preserve"> </w:t>
      </w:r>
    </w:p>
    <w:p w14:paraId="5563B3B8" w14:textId="77777777" w:rsidR="005B1006" w:rsidRDefault="005B1006" w:rsidP="005B1006">
      <w:pPr>
        <w:pStyle w:val="Heading3"/>
        <w:spacing w:after="0"/>
        <w:ind w:left="-1"/>
      </w:pPr>
      <w:r>
        <w:t xml:space="preserve">Reproduktīvā toksikoloģija </w:t>
      </w:r>
    </w:p>
    <w:p w14:paraId="6CF26FA2" w14:textId="77777777" w:rsidR="005B1006" w:rsidRDefault="005B1006" w:rsidP="005B1006">
      <w:pPr>
        <w:spacing w:after="31"/>
        <w:ind w:left="-10" w:right="8"/>
      </w:pPr>
      <w:r>
        <w:t xml:space="preserve">Saņemot lielākas devas edoksabāna, žurkām un trušiem novēroja maksts asiņošanu, taču žurku vecāku reproduktīvo funkciju tas neietekmēja. </w:t>
      </w:r>
    </w:p>
    <w:p w14:paraId="2BB1993B" w14:textId="77777777" w:rsidR="005B1006" w:rsidRDefault="005B1006" w:rsidP="005B1006">
      <w:pPr>
        <w:spacing w:after="45" w:line="259" w:lineRule="auto"/>
        <w:ind w:firstLine="0"/>
      </w:pPr>
      <w:r>
        <w:t xml:space="preserve"> </w:t>
      </w:r>
    </w:p>
    <w:p w14:paraId="57503E2E" w14:textId="77777777" w:rsidR="005B1006" w:rsidRDefault="005B1006" w:rsidP="005B1006">
      <w:pPr>
        <w:ind w:left="-10" w:right="8"/>
      </w:pPr>
      <w:r>
        <w:t xml:space="preserve">Žurku tēviņiem un mātītēm ietekmi uz fertilitāti nenovēroja. </w:t>
      </w:r>
    </w:p>
    <w:p w14:paraId="3C6E4B12" w14:textId="77777777" w:rsidR="005B1006" w:rsidRDefault="005B1006" w:rsidP="005B1006">
      <w:pPr>
        <w:spacing w:after="0" w:line="259" w:lineRule="auto"/>
        <w:ind w:firstLine="0"/>
      </w:pPr>
      <w:r>
        <w:t xml:space="preserve"> </w:t>
      </w:r>
    </w:p>
    <w:p w14:paraId="6E42BBA4" w14:textId="77777777" w:rsidR="005B1006" w:rsidRDefault="005B1006" w:rsidP="005B1006">
      <w:pPr>
        <w:spacing w:after="38"/>
        <w:ind w:left="-10" w:right="8"/>
      </w:pPr>
      <w:r>
        <w:t xml:space="preserve">Dzīvnieku reproduktivitātes pētījumos trušiem biežāk novēroja žultspūšļa pārmaiņas, saņemot </w:t>
      </w:r>
    </w:p>
    <w:p w14:paraId="11257512" w14:textId="77777777" w:rsidR="005B1006" w:rsidRDefault="005B1006" w:rsidP="005B1006">
      <w:pPr>
        <w:spacing w:line="321" w:lineRule="auto"/>
        <w:ind w:left="-10" w:right="8"/>
      </w:pPr>
      <w:r>
        <w:t>200 mg/kg lielu devu, kas apmēram 65 reizes pārsniedz maksimālo cilvēkam ieteicamo devu (MCID) 60 mg/dienā atbilstīgi kopējam ķermeņa virsmas laukumam mg/m</w:t>
      </w:r>
      <w:r>
        <w:rPr>
          <w:vertAlign w:val="superscript"/>
        </w:rPr>
        <w:t>2</w:t>
      </w:r>
      <w:r>
        <w:t xml:space="preserve">. Biežāku pēcimplantācijas augļa bojāeju novēroja žurkām, saņemot 300 mg/kg/dienā (apmēram 49 reizes pārsniedz MCID), bet trušiem – 200 mg/kg/dienā (apmēram 65 reizes pārsniedz MCID). </w:t>
      </w:r>
    </w:p>
    <w:p w14:paraId="6508FBFE" w14:textId="77777777" w:rsidR="005B1006" w:rsidRDefault="005B1006" w:rsidP="005B1006">
      <w:pPr>
        <w:spacing w:after="46" w:line="259" w:lineRule="auto"/>
        <w:ind w:firstLine="0"/>
      </w:pPr>
      <w:r>
        <w:t xml:space="preserve"> </w:t>
      </w:r>
    </w:p>
    <w:p w14:paraId="24B831EA" w14:textId="77777777" w:rsidR="005B1006" w:rsidRDefault="005B1006" w:rsidP="005B1006">
      <w:pPr>
        <w:ind w:left="-10" w:right="8"/>
      </w:pPr>
      <w:r>
        <w:t xml:space="preserve">Edoksabāns izdalījās žurku pienā. </w:t>
      </w:r>
    </w:p>
    <w:p w14:paraId="495FB466" w14:textId="77777777" w:rsidR="005B1006" w:rsidRDefault="005B1006" w:rsidP="005B1006">
      <w:pPr>
        <w:spacing w:after="46" w:line="259" w:lineRule="auto"/>
        <w:ind w:firstLine="0"/>
      </w:pPr>
      <w:r>
        <w:t xml:space="preserve"> </w:t>
      </w:r>
    </w:p>
    <w:p w14:paraId="77989773" w14:textId="77777777" w:rsidR="005B1006" w:rsidRDefault="005B1006" w:rsidP="005B1006">
      <w:pPr>
        <w:spacing w:after="64" w:line="259" w:lineRule="auto"/>
        <w:ind w:left="0" w:hanging="10"/>
      </w:pPr>
      <w:r>
        <w:rPr>
          <w:u w:val="single" w:color="000000"/>
        </w:rPr>
        <w:t>Vides riska novērtējums (VRN)</w:t>
      </w:r>
      <w:r>
        <w:t xml:space="preserve"> </w:t>
      </w:r>
    </w:p>
    <w:p w14:paraId="33F71449" w14:textId="77777777" w:rsidR="005B1006" w:rsidRDefault="005B1006" w:rsidP="005B1006">
      <w:pPr>
        <w:ind w:left="-10" w:right="8"/>
      </w:pPr>
      <w:r>
        <w:t xml:space="preserve">Aktīvā viela edoksabāna tozilāts saglabājas vidē (norādījumus likvidēšanai skatīt 6.6. apakšpunktā). </w:t>
      </w:r>
    </w:p>
    <w:p w14:paraId="28D1F196" w14:textId="77777777" w:rsidR="005B1006" w:rsidRDefault="005B1006" w:rsidP="005B1006">
      <w:pPr>
        <w:spacing w:after="0" w:line="259" w:lineRule="auto"/>
        <w:ind w:firstLine="0"/>
      </w:pPr>
      <w:r>
        <w:t xml:space="preserve"> </w:t>
      </w:r>
    </w:p>
    <w:p w14:paraId="192DE2C2" w14:textId="77777777" w:rsidR="005B1006" w:rsidRDefault="005B1006" w:rsidP="005B1006">
      <w:pPr>
        <w:spacing w:after="0" w:line="259" w:lineRule="auto"/>
        <w:ind w:firstLine="0"/>
      </w:pPr>
      <w:r>
        <w:t xml:space="preserve"> </w:t>
      </w:r>
    </w:p>
    <w:p w14:paraId="1060E919" w14:textId="77777777" w:rsidR="005B1006" w:rsidRDefault="005B1006" w:rsidP="005B1006">
      <w:pPr>
        <w:pStyle w:val="Heading1"/>
        <w:tabs>
          <w:tab w:val="center" w:pos="2340"/>
        </w:tabs>
        <w:ind w:left="-10" w:right="0" w:firstLine="0"/>
      </w:pPr>
      <w:r>
        <w:t xml:space="preserve">6. </w:t>
      </w:r>
      <w:r>
        <w:tab/>
        <w:t xml:space="preserve">FARMACEITISKĀ INFORMĀCIJA </w:t>
      </w:r>
    </w:p>
    <w:p w14:paraId="70DB1588" w14:textId="77777777" w:rsidR="005B1006" w:rsidRDefault="005B1006" w:rsidP="005B1006">
      <w:pPr>
        <w:spacing w:after="41" w:line="259" w:lineRule="auto"/>
        <w:ind w:firstLine="0"/>
      </w:pPr>
      <w:r>
        <w:t xml:space="preserve"> </w:t>
      </w:r>
    </w:p>
    <w:p w14:paraId="1FD5FE1D" w14:textId="77777777" w:rsidR="005B1006" w:rsidRDefault="005B1006" w:rsidP="005B1006">
      <w:pPr>
        <w:tabs>
          <w:tab w:val="center" w:pos="1448"/>
        </w:tabs>
        <w:spacing w:after="0" w:line="259" w:lineRule="auto"/>
        <w:ind w:left="-10" w:firstLine="0"/>
      </w:pPr>
      <w:r>
        <w:rPr>
          <w:b/>
        </w:rPr>
        <w:t xml:space="preserve">6.1. </w:t>
      </w:r>
      <w:r>
        <w:rPr>
          <w:b/>
        </w:rPr>
        <w:tab/>
        <w:t>Palīgvielu saraksts</w:t>
      </w:r>
      <w:r>
        <w:t xml:space="preserve"> </w:t>
      </w:r>
    </w:p>
    <w:p w14:paraId="6F82742D" w14:textId="77777777" w:rsidR="005B1006" w:rsidRDefault="005B1006" w:rsidP="005B1006">
      <w:pPr>
        <w:spacing w:after="44" w:line="259" w:lineRule="auto"/>
        <w:ind w:firstLine="0"/>
      </w:pPr>
      <w:r>
        <w:rPr>
          <w:i/>
        </w:rPr>
        <w:t xml:space="preserve"> </w:t>
      </w:r>
    </w:p>
    <w:p w14:paraId="7AAFD3C9" w14:textId="77777777" w:rsidR="005B1006" w:rsidRDefault="005B1006" w:rsidP="005B1006">
      <w:pPr>
        <w:pStyle w:val="Heading2"/>
        <w:spacing w:line="319" w:lineRule="auto"/>
        <w:ind w:left="0" w:right="6766"/>
      </w:pPr>
      <w:r>
        <w:t>Tabletes kodols</w:t>
      </w:r>
      <w:r>
        <w:rPr>
          <w:u w:val="none"/>
        </w:rPr>
        <w:t xml:space="preserve"> Mannīts (E421) </w:t>
      </w:r>
    </w:p>
    <w:p w14:paraId="465CC686" w14:textId="77777777" w:rsidR="005B1006" w:rsidRDefault="005B1006" w:rsidP="005B1006">
      <w:pPr>
        <w:spacing w:after="52"/>
        <w:ind w:left="-10" w:right="8"/>
      </w:pPr>
      <w:r>
        <w:t xml:space="preserve">Preželatinizēta ciete </w:t>
      </w:r>
    </w:p>
    <w:p w14:paraId="7038C9EF" w14:textId="77777777" w:rsidR="005B1006" w:rsidRDefault="005B1006" w:rsidP="005B1006">
      <w:pPr>
        <w:spacing w:after="52"/>
        <w:ind w:left="-10" w:right="8"/>
      </w:pPr>
      <w:r>
        <w:t xml:space="preserve">Krospovidons (E1202) </w:t>
      </w:r>
    </w:p>
    <w:p w14:paraId="4DA7CC10" w14:textId="77777777" w:rsidR="005B1006" w:rsidRDefault="005B1006" w:rsidP="005B1006">
      <w:pPr>
        <w:spacing w:after="54"/>
        <w:ind w:left="-10" w:right="8"/>
      </w:pPr>
      <w:r>
        <w:t xml:space="preserve">Hidroksipropilceluloze (E463) </w:t>
      </w:r>
    </w:p>
    <w:p w14:paraId="394C4D91" w14:textId="77777777" w:rsidR="005B1006" w:rsidRDefault="005B1006" w:rsidP="005B1006">
      <w:pPr>
        <w:ind w:left="-10" w:right="8"/>
      </w:pPr>
      <w:r>
        <w:t xml:space="preserve">Magnija stearāts (E470b) </w:t>
      </w:r>
    </w:p>
    <w:p w14:paraId="3F487FA7" w14:textId="77777777" w:rsidR="005B1006" w:rsidRDefault="005B1006" w:rsidP="005B1006">
      <w:pPr>
        <w:spacing w:after="42" w:line="259" w:lineRule="auto"/>
        <w:ind w:firstLine="0"/>
      </w:pPr>
      <w:r>
        <w:t xml:space="preserve"> </w:t>
      </w:r>
    </w:p>
    <w:p w14:paraId="5B560A8D" w14:textId="77777777" w:rsidR="005B1006" w:rsidRDefault="005B1006" w:rsidP="005B1006">
      <w:pPr>
        <w:pStyle w:val="Heading2"/>
        <w:spacing w:after="64"/>
        <w:ind w:left="0"/>
      </w:pPr>
      <w:r>
        <w:t>Apvalks</w:t>
      </w:r>
      <w:r>
        <w:rPr>
          <w:u w:val="none"/>
        </w:rPr>
        <w:t xml:space="preserve"> </w:t>
      </w:r>
    </w:p>
    <w:p w14:paraId="0EDF97BF" w14:textId="77777777" w:rsidR="005B1006" w:rsidRDefault="005B1006" w:rsidP="005B1006">
      <w:pPr>
        <w:spacing w:after="52"/>
        <w:ind w:left="-10" w:right="8"/>
      </w:pPr>
      <w:r>
        <w:t xml:space="preserve">Hipromeloze (E464) </w:t>
      </w:r>
    </w:p>
    <w:p w14:paraId="32CD29AB" w14:textId="77777777" w:rsidR="005B1006" w:rsidRDefault="005B1006" w:rsidP="005B1006">
      <w:pPr>
        <w:spacing w:after="54"/>
        <w:ind w:left="-10" w:right="8"/>
      </w:pPr>
      <w:r>
        <w:t xml:space="preserve">Makrogols (8000) </w:t>
      </w:r>
    </w:p>
    <w:p w14:paraId="03C45034" w14:textId="77777777" w:rsidR="005B1006" w:rsidRDefault="005B1006" w:rsidP="005B1006">
      <w:pPr>
        <w:spacing w:after="48"/>
        <w:ind w:left="-10" w:right="8"/>
      </w:pPr>
      <w:r>
        <w:t xml:space="preserve">Titāna dioksīds (E171) </w:t>
      </w:r>
    </w:p>
    <w:p w14:paraId="1D458E85" w14:textId="77777777" w:rsidR="005B1006" w:rsidRDefault="005B1006" w:rsidP="005B1006">
      <w:pPr>
        <w:spacing w:after="53"/>
        <w:ind w:left="-10" w:right="8"/>
      </w:pPr>
      <w:r>
        <w:t xml:space="preserve">Talks (E553b) </w:t>
      </w:r>
    </w:p>
    <w:p w14:paraId="10793D91" w14:textId="77777777" w:rsidR="005B1006" w:rsidRDefault="005B1006" w:rsidP="005B1006">
      <w:pPr>
        <w:ind w:left="-10" w:right="8"/>
      </w:pPr>
      <w:r>
        <w:t xml:space="preserve">Karnaubas vasks </w:t>
      </w:r>
    </w:p>
    <w:p w14:paraId="163B8E76" w14:textId="77777777" w:rsidR="005B1006" w:rsidRDefault="005B1006" w:rsidP="005B1006">
      <w:pPr>
        <w:spacing w:after="23" w:line="259" w:lineRule="auto"/>
        <w:ind w:firstLine="0"/>
      </w:pPr>
      <w:r>
        <w:t xml:space="preserve"> </w:t>
      </w:r>
    </w:p>
    <w:p w14:paraId="05D513D8" w14:textId="77777777" w:rsidR="005B1006" w:rsidRDefault="005B1006" w:rsidP="005B1006">
      <w:pPr>
        <w:pStyle w:val="Heading2"/>
        <w:spacing w:after="58"/>
        <w:ind w:left="0"/>
      </w:pPr>
      <w:r>
        <w:t>Lixiana 15 mg apvalkotās tabletes</w:t>
      </w:r>
      <w:r>
        <w:rPr>
          <w:u w:val="none"/>
        </w:rPr>
        <w:t xml:space="preserve"> </w:t>
      </w:r>
    </w:p>
    <w:p w14:paraId="5A670A2D" w14:textId="77777777" w:rsidR="005B1006" w:rsidRDefault="005B1006" w:rsidP="005B1006">
      <w:pPr>
        <w:spacing w:after="57"/>
        <w:ind w:left="-10" w:right="8"/>
      </w:pPr>
      <w:r>
        <w:t xml:space="preserve">Dzeltenais dzelzs oksīds (E172) </w:t>
      </w:r>
    </w:p>
    <w:p w14:paraId="3DFE4FD7" w14:textId="77777777" w:rsidR="005B1006" w:rsidRDefault="005B1006" w:rsidP="005B1006">
      <w:pPr>
        <w:ind w:left="-10" w:right="8"/>
      </w:pPr>
      <w:r>
        <w:t xml:space="preserve">Sarkanais dzelzs oksīds (E172) </w:t>
      </w:r>
    </w:p>
    <w:p w14:paraId="6049CFBC" w14:textId="77777777" w:rsidR="005B1006" w:rsidRDefault="005B1006" w:rsidP="005B1006">
      <w:pPr>
        <w:spacing w:after="23" w:line="259" w:lineRule="auto"/>
        <w:ind w:firstLine="0"/>
      </w:pPr>
      <w:r>
        <w:t xml:space="preserve"> </w:t>
      </w:r>
    </w:p>
    <w:p w14:paraId="0AB336F7" w14:textId="77777777" w:rsidR="005B1006" w:rsidRDefault="005B1006" w:rsidP="005B1006">
      <w:pPr>
        <w:spacing w:after="59" w:line="259" w:lineRule="auto"/>
        <w:ind w:left="0" w:hanging="10"/>
      </w:pPr>
      <w:r>
        <w:rPr>
          <w:u w:val="single" w:color="000000"/>
        </w:rPr>
        <w:t>Lixiana 30 mg apvalkotās tabletes</w:t>
      </w:r>
      <w:r>
        <w:t xml:space="preserve"> </w:t>
      </w:r>
    </w:p>
    <w:p w14:paraId="18506924" w14:textId="77777777" w:rsidR="005B1006" w:rsidRDefault="005B1006" w:rsidP="005B1006">
      <w:pPr>
        <w:ind w:left="-10" w:right="8"/>
      </w:pPr>
      <w:r>
        <w:t xml:space="preserve">Sarkanais dzelzs oksīds (E172) </w:t>
      </w:r>
    </w:p>
    <w:p w14:paraId="5FDE4186" w14:textId="77777777" w:rsidR="005B1006" w:rsidRDefault="005B1006" w:rsidP="005B1006">
      <w:pPr>
        <w:spacing w:after="22" w:line="259" w:lineRule="auto"/>
        <w:ind w:firstLine="0"/>
      </w:pPr>
      <w:r>
        <w:t xml:space="preserve"> </w:t>
      </w:r>
    </w:p>
    <w:p w14:paraId="6C849B67" w14:textId="77777777" w:rsidR="005B1006" w:rsidRDefault="005B1006" w:rsidP="005B1006">
      <w:pPr>
        <w:pStyle w:val="Heading2"/>
        <w:spacing w:after="59"/>
        <w:ind w:left="0"/>
      </w:pPr>
      <w:r>
        <w:t>Lixiana 60 mg apvalkotās tabletes</w:t>
      </w:r>
      <w:r>
        <w:rPr>
          <w:u w:val="none"/>
        </w:rPr>
        <w:t xml:space="preserve"> </w:t>
      </w:r>
    </w:p>
    <w:p w14:paraId="364AA392" w14:textId="77777777" w:rsidR="005B1006" w:rsidRDefault="005B1006" w:rsidP="005B1006">
      <w:pPr>
        <w:ind w:left="-10" w:right="8"/>
      </w:pPr>
      <w:r>
        <w:t xml:space="preserve">Dzeltenais dzelzs oksīds (E172) </w:t>
      </w:r>
    </w:p>
    <w:p w14:paraId="6871FA45" w14:textId="77777777" w:rsidR="005B1006" w:rsidRDefault="005B1006" w:rsidP="005B1006">
      <w:pPr>
        <w:spacing w:after="34" w:line="259" w:lineRule="auto"/>
        <w:ind w:firstLine="0"/>
      </w:pPr>
      <w:r>
        <w:t xml:space="preserve"> </w:t>
      </w:r>
    </w:p>
    <w:p w14:paraId="779B07EC" w14:textId="77777777" w:rsidR="005B1006" w:rsidRDefault="005B1006" w:rsidP="005B1006">
      <w:pPr>
        <w:tabs>
          <w:tab w:val="center" w:pos="1102"/>
        </w:tabs>
        <w:spacing w:after="0" w:line="259" w:lineRule="auto"/>
        <w:ind w:left="-10" w:firstLine="0"/>
      </w:pPr>
      <w:r>
        <w:rPr>
          <w:b/>
        </w:rPr>
        <w:t xml:space="preserve">6.2. </w:t>
      </w:r>
      <w:r>
        <w:rPr>
          <w:b/>
        </w:rPr>
        <w:tab/>
        <w:t>Nesaderība</w:t>
      </w:r>
      <w:r>
        <w:t xml:space="preserve"> </w:t>
      </w:r>
    </w:p>
    <w:p w14:paraId="118BE74B" w14:textId="77777777" w:rsidR="005B1006" w:rsidRDefault="005B1006" w:rsidP="005B1006">
      <w:pPr>
        <w:spacing w:after="44" w:line="259" w:lineRule="auto"/>
        <w:ind w:firstLine="0"/>
      </w:pPr>
      <w:r>
        <w:t xml:space="preserve"> </w:t>
      </w:r>
    </w:p>
    <w:p w14:paraId="3F34D3C8" w14:textId="77777777" w:rsidR="005B1006" w:rsidRDefault="005B1006" w:rsidP="005B1006">
      <w:pPr>
        <w:ind w:left="-10" w:right="8"/>
      </w:pPr>
      <w:r>
        <w:t xml:space="preserve">Nav piemērojama. </w:t>
      </w:r>
    </w:p>
    <w:p w14:paraId="68AD6796" w14:textId="77777777" w:rsidR="005B1006" w:rsidRDefault="005B1006" w:rsidP="005B1006">
      <w:pPr>
        <w:spacing w:after="41" w:line="259" w:lineRule="auto"/>
        <w:ind w:firstLine="0"/>
      </w:pPr>
      <w:r>
        <w:t xml:space="preserve"> </w:t>
      </w:r>
    </w:p>
    <w:p w14:paraId="5F6BCDB7" w14:textId="77777777" w:rsidR="005B1006" w:rsidRDefault="005B1006" w:rsidP="005B1006">
      <w:pPr>
        <w:tabs>
          <w:tab w:val="center" w:pos="1461"/>
        </w:tabs>
        <w:spacing w:after="0" w:line="259" w:lineRule="auto"/>
        <w:ind w:left="-10" w:firstLine="0"/>
      </w:pPr>
      <w:r>
        <w:rPr>
          <w:b/>
        </w:rPr>
        <w:t xml:space="preserve">6.3. </w:t>
      </w:r>
      <w:r>
        <w:rPr>
          <w:b/>
        </w:rPr>
        <w:tab/>
        <w:t xml:space="preserve">Uzglabāšanas laiks </w:t>
      </w:r>
    </w:p>
    <w:p w14:paraId="45BFD8B8" w14:textId="77777777" w:rsidR="005B1006" w:rsidRDefault="005B1006" w:rsidP="005B1006">
      <w:pPr>
        <w:spacing w:after="21" w:line="259" w:lineRule="auto"/>
        <w:ind w:firstLine="0"/>
      </w:pPr>
      <w:r>
        <w:rPr>
          <w:b/>
        </w:rPr>
        <w:t xml:space="preserve"> </w:t>
      </w:r>
    </w:p>
    <w:p w14:paraId="6BE9F29E" w14:textId="77777777" w:rsidR="005B1006" w:rsidRDefault="005B1006" w:rsidP="005B1006">
      <w:pPr>
        <w:ind w:left="-10" w:right="8"/>
      </w:pPr>
      <w:r>
        <w:t xml:space="preserve">5 gadi </w:t>
      </w:r>
    </w:p>
    <w:p w14:paraId="090D8732" w14:textId="77777777" w:rsidR="005B1006" w:rsidRDefault="005B1006" w:rsidP="005B1006">
      <w:pPr>
        <w:spacing w:after="45" w:line="259" w:lineRule="auto"/>
        <w:ind w:firstLine="0"/>
      </w:pPr>
      <w:r>
        <w:t xml:space="preserve"> </w:t>
      </w:r>
    </w:p>
    <w:p w14:paraId="67083CF0" w14:textId="77777777" w:rsidR="005B1006" w:rsidRDefault="005B1006" w:rsidP="005B1006">
      <w:pPr>
        <w:tabs>
          <w:tab w:val="center" w:pos="1995"/>
        </w:tabs>
        <w:spacing w:after="0" w:line="259" w:lineRule="auto"/>
        <w:ind w:left="-10" w:firstLine="0"/>
      </w:pPr>
      <w:r>
        <w:rPr>
          <w:b/>
        </w:rPr>
        <w:t xml:space="preserve">6.4. </w:t>
      </w:r>
      <w:r>
        <w:rPr>
          <w:b/>
        </w:rPr>
        <w:tab/>
        <w:t xml:space="preserve">Īpaši uzglabāšanas nosacījumi </w:t>
      </w:r>
    </w:p>
    <w:p w14:paraId="4216B0BC" w14:textId="77777777" w:rsidR="005B1006" w:rsidRDefault="005B1006" w:rsidP="005B1006">
      <w:pPr>
        <w:spacing w:after="45" w:line="259" w:lineRule="auto"/>
        <w:ind w:firstLine="0"/>
      </w:pPr>
      <w:r>
        <w:rPr>
          <w:b/>
        </w:rPr>
        <w:t xml:space="preserve"> </w:t>
      </w:r>
    </w:p>
    <w:p w14:paraId="7B86E533" w14:textId="77777777" w:rsidR="005B1006" w:rsidRDefault="005B1006" w:rsidP="005B1006">
      <w:pPr>
        <w:ind w:left="-10" w:right="8"/>
      </w:pPr>
      <w:r>
        <w:t xml:space="preserve">Šīm zālēm nav nepieciešami īpaši uzglabāšanas apstākļi. </w:t>
      </w:r>
    </w:p>
    <w:p w14:paraId="0113CB9E" w14:textId="77777777" w:rsidR="005B1006" w:rsidRDefault="005B1006" w:rsidP="005B1006">
      <w:pPr>
        <w:spacing w:after="45" w:line="259" w:lineRule="auto"/>
        <w:ind w:firstLine="0"/>
      </w:pPr>
      <w:r>
        <w:t xml:space="preserve"> </w:t>
      </w:r>
    </w:p>
    <w:p w14:paraId="6F772A10" w14:textId="77777777" w:rsidR="005B1006" w:rsidRDefault="005B1006" w:rsidP="005B1006">
      <w:pPr>
        <w:tabs>
          <w:tab w:val="center" w:pos="1870"/>
        </w:tabs>
        <w:spacing w:after="0" w:line="259" w:lineRule="auto"/>
        <w:ind w:left="-10" w:firstLine="0"/>
      </w:pPr>
      <w:r>
        <w:rPr>
          <w:b/>
        </w:rPr>
        <w:t xml:space="preserve">6.5. </w:t>
      </w:r>
      <w:r>
        <w:rPr>
          <w:b/>
        </w:rPr>
        <w:tab/>
        <w:t xml:space="preserve">Iepakojuma veids un saturs </w:t>
      </w:r>
    </w:p>
    <w:p w14:paraId="49959476" w14:textId="77777777" w:rsidR="005B1006" w:rsidRDefault="005B1006" w:rsidP="005B1006">
      <w:pPr>
        <w:spacing w:after="22" w:line="259" w:lineRule="auto"/>
        <w:ind w:left="5" w:firstLine="0"/>
      </w:pPr>
      <w:r>
        <w:rPr>
          <w:b/>
        </w:rPr>
        <w:t xml:space="preserve"> </w:t>
      </w:r>
    </w:p>
    <w:p w14:paraId="0A6D406C" w14:textId="77777777" w:rsidR="005B1006" w:rsidRDefault="005B1006" w:rsidP="005B1006">
      <w:pPr>
        <w:pStyle w:val="Heading2"/>
        <w:spacing w:after="52"/>
        <w:ind w:left="0"/>
      </w:pPr>
      <w:r>
        <w:t>Lixiana 15 mg apvalkotās tabletes</w:t>
      </w:r>
      <w:r>
        <w:rPr>
          <w:u w:val="none"/>
        </w:rPr>
        <w:t xml:space="preserve"> </w:t>
      </w:r>
    </w:p>
    <w:p w14:paraId="1C4D22A3" w14:textId="77777777" w:rsidR="005B1006" w:rsidRDefault="005B1006" w:rsidP="005B1006">
      <w:pPr>
        <w:spacing w:after="47"/>
        <w:ind w:left="-10" w:right="8"/>
      </w:pPr>
      <w:r>
        <w:t xml:space="preserve">PVH/alumīnija blisteri kastītēs pa 10 apvalkotām tabletēm. </w:t>
      </w:r>
    </w:p>
    <w:p w14:paraId="563691EB" w14:textId="77777777" w:rsidR="005B1006" w:rsidRDefault="005B1006" w:rsidP="005B1006">
      <w:pPr>
        <w:ind w:left="-10" w:right="8"/>
      </w:pPr>
      <w:r>
        <w:t xml:space="preserve">PVH/alumīnija perforēti dozējamu vienību blisteri kastītēs pa 10 x 1 apvalkotai tabletei. </w:t>
      </w:r>
    </w:p>
    <w:p w14:paraId="0688C1E3" w14:textId="77777777" w:rsidR="005B1006" w:rsidRDefault="005B1006" w:rsidP="005B1006">
      <w:pPr>
        <w:spacing w:after="23" w:line="259" w:lineRule="auto"/>
        <w:ind w:firstLine="0"/>
      </w:pPr>
      <w:r>
        <w:t xml:space="preserve"> </w:t>
      </w:r>
    </w:p>
    <w:p w14:paraId="4782C8F4" w14:textId="77777777" w:rsidR="005B1006" w:rsidRDefault="005B1006" w:rsidP="005B1006">
      <w:pPr>
        <w:spacing w:after="41"/>
        <w:ind w:left="-10" w:right="651"/>
      </w:pPr>
      <w:r>
        <w:rPr>
          <w:u w:val="single" w:color="000000"/>
        </w:rPr>
        <w:t>Lixiana 30 mg apvalkotās tabletes</w:t>
      </w:r>
      <w:r>
        <w:t xml:space="preserve"> PVH/alumīnija blisteri kastītēs pa 10, 14, 28, 30, 56, 60, 84, 90, 98, 100 apvalkotām tabletēm. </w:t>
      </w:r>
    </w:p>
    <w:p w14:paraId="7F6407E9" w14:textId="77777777" w:rsidR="005B1006" w:rsidRDefault="005B1006" w:rsidP="005B1006">
      <w:pPr>
        <w:spacing w:after="40"/>
        <w:ind w:left="-10" w:right="8"/>
      </w:pPr>
      <w:r>
        <w:t xml:space="preserve">PVH/alumīnija perforēti dozējamu vienību blisteri kastītēs pa 10 x 1, 50 x 1 un 100 x 1 apvalkotai tabletei. </w:t>
      </w:r>
    </w:p>
    <w:p w14:paraId="3B907C97" w14:textId="77777777" w:rsidR="005B1006" w:rsidRDefault="005B1006" w:rsidP="005B1006">
      <w:pPr>
        <w:ind w:left="-10" w:right="8"/>
      </w:pPr>
      <w:r>
        <w:t xml:space="preserve">HDPE pudeles ar skrūvējamu PP vāciņu, kurās ir 90 apvalkotas tabletes. </w:t>
      </w:r>
    </w:p>
    <w:p w14:paraId="31088BF1" w14:textId="77777777" w:rsidR="005B1006" w:rsidRDefault="005B1006" w:rsidP="005B1006">
      <w:pPr>
        <w:spacing w:after="0" w:line="259" w:lineRule="auto"/>
        <w:ind w:firstLine="0"/>
      </w:pPr>
      <w:r>
        <w:t xml:space="preserve"> </w:t>
      </w:r>
    </w:p>
    <w:p w14:paraId="2FED6349" w14:textId="77777777" w:rsidR="005B1006" w:rsidRDefault="005B1006" w:rsidP="005B1006">
      <w:pPr>
        <w:spacing w:after="42"/>
        <w:ind w:left="-10" w:right="651"/>
      </w:pPr>
      <w:r>
        <w:rPr>
          <w:u w:val="single" w:color="000000"/>
        </w:rPr>
        <w:t>Lixiana 60 mg apvalkotās tabletes</w:t>
      </w:r>
      <w:r>
        <w:t xml:space="preserve"> PVH/alumīnija blisteri kastītēs pa 10, 14, 28, 30, 56, 60, 84, 90, 98, 100 apvalkotām tabletēm. </w:t>
      </w:r>
    </w:p>
    <w:p w14:paraId="4106ACFA" w14:textId="77777777" w:rsidR="005B1006" w:rsidRDefault="005B1006" w:rsidP="005B1006">
      <w:pPr>
        <w:spacing w:after="40"/>
        <w:ind w:left="-10" w:right="8"/>
      </w:pPr>
      <w:r>
        <w:t xml:space="preserve">PVH/alumīnija perforēti dozējamu vienību blisteri kastītēs pa 10 x 1, 50 x 1 un 100 x 1 apvalkotai tabletei. </w:t>
      </w:r>
    </w:p>
    <w:p w14:paraId="3826DB45" w14:textId="77777777" w:rsidR="005B1006" w:rsidRDefault="005B1006" w:rsidP="005B1006">
      <w:pPr>
        <w:ind w:left="-10" w:right="8"/>
      </w:pPr>
      <w:r>
        <w:t xml:space="preserve">HDPE pudeles ar skrūvējamu PP vāciņu, kurās ir 90 apvalkotas tabletes. </w:t>
      </w:r>
    </w:p>
    <w:p w14:paraId="45B6C7D9" w14:textId="77777777" w:rsidR="005B1006" w:rsidRDefault="005B1006" w:rsidP="005B1006">
      <w:pPr>
        <w:spacing w:after="46" w:line="259" w:lineRule="auto"/>
        <w:ind w:firstLine="0"/>
      </w:pPr>
      <w:r>
        <w:t xml:space="preserve"> </w:t>
      </w:r>
    </w:p>
    <w:p w14:paraId="101DAB3F" w14:textId="77777777" w:rsidR="005B1006" w:rsidRDefault="005B1006" w:rsidP="005B1006">
      <w:pPr>
        <w:ind w:left="-10" w:right="8"/>
      </w:pPr>
      <w:r>
        <w:t xml:space="preserve">Visi iepakojuma lielumi tirgū var nebūt pieejami. </w:t>
      </w:r>
    </w:p>
    <w:p w14:paraId="5D3F5A70" w14:textId="77777777" w:rsidR="005B1006" w:rsidRDefault="005B1006" w:rsidP="005B1006">
      <w:pPr>
        <w:spacing w:after="48" w:line="259" w:lineRule="auto"/>
        <w:ind w:firstLine="0"/>
      </w:pPr>
      <w:r>
        <w:t xml:space="preserve"> </w:t>
      </w:r>
    </w:p>
    <w:p w14:paraId="627D709F" w14:textId="77777777" w:rsidR="005B1006" w:rsidRDefault="005B1006" w:rsidP="005B1006">
      <w:pPr>
        <w:tabs>
          <w:tab w:val="center" w:pos="2463"/>
        </w:tabs>
        <w:spacing w:after="0" w:line="259" w:lineRule="auto"/>
        <w:ind w:left="-10" w:firstLine="0"/>
      </w:pPr>
      <w:r>
        <w:rPr>
          <w:b/>
        </w:rPr>
        <w:t xml:space="preserve">6.6. </w:t>
      </w:r>
      <w:r>
        <w:rPr>
          <w:b/>
        </w:rPr>
        <w:tab/>
        <w:t xml:space="preserve">Īpaši norādījumi atkritumu likvidēšanai </w:t>
      </w:r>
    </w:p>
    <w:p w14:paraId="01568039" w14:textId="77777777" w:rsidR="005B1006" w:rsidRDefault="005B1006" w:rsidP="005B1006">
      <w:pPr>
        <w:spacing w:after="46" w:line="259" w:lineRule="auto"/>
        <w:ind w:firstLine="0"/>
      </w:pPr>
      <w:r>
        <w:rPr>
          <w:b/>
        </w:rPr>
        <w:t xml:space="preserve"> </w:t>
      </w:r>
    </w:p>
    <w:p w14:paraId="6E81B2DE" w14:textId="77777777" w:rsidR="005B1006" w:rsidRDefault="005B1006" w:rsidP="005B1006">
      <w:pPr>
        <w:ind w:left="-10" w:right="8"/>
      </w:pPr>
      <w:r>
        <w:t xml:space="preserve">Neizlietotās zāles vai izlietotie materiāli jāiznīcina atbilstoši vietējām prasībām. </w:t>
      </w:r>
    </w:p>
    <w:p w14:paraId="00B7D648" w14:textId="77777777" w:rsidR="005B1006" w:rsidRDefault="005B1006" w:rsidP="005B1006">
      <w:pPr>
        <w:spacing w:after="0" w:line="259" w:lineRule="auto"/>
        <w:ind w:firstLine="0"/>
      </w:pPr>
      <w:r>
        <w:t xml:space="preserve"> </w:t>
      </w:r>
    </w:p>
    <w:p w14:paraId="27A428E7" w14:textId="77777777" w:rsidR="005B1006" w:rsidRDefault="005B1006" w:rsidP="005B1006">
      <w:pPr>
        <w:spacing w:after="52" w:line="259" w:lineRule="auto"/>
        <w:ind w:firstLine="0"/>
      </w:pPr>
      <w:r>
        <w:t xml:space="preserve"> </w:t>
      </w:r>
    </w:p>
    <w:p w14:paraId="5FC1E7DB" w14:textId="77777777" w:rsidR="005B1006" w:rsidRDefault="005B1006" w:rsidP="005B1006">
      <w:pPr>
        <w:pStyle w:val="Heading1"/>
        <w:tabs>
          <w:tab w:val="center" w:pos="2784"/>
        </w:tabs>
        <w:ind w:left="-10" w:right="0" w:firstLine="0"/>
      </w:pPr>
      <w:r>
        <w:t xml:space="preserve">7. </w:t>
      </w:r>
      <w:r>
        <w:tab/>
        <w:t>REĢISTRĀCIJAS APLIECĪBAS ĪPAŠNIEKS</w:t>
      </w:r>
      <w:r>
        <w:rPr>
          <w:b w:val="0"/>
        </w:rPr>
        <w:t xml:space="preserve"> </w:t>
      </w:r>
    </w:p>
    <w:p w14:paraId="2CE89BE8" w14:textId="77777777" w:rsidR="005B1006" w:rsidRDefault="005B1006" w:rsidP="005B1006">
      <w:pPr>
        <w:spacing w:after="46" w:line="259" w:lineRule="auto"/>
        <w:ind w:firstLine="0"/>
      </w:pPr>
      <w:r>
        <w:t xml:space="preserve"> </w:t>
      </w:r>
    </w:p>
    <w:p w14:paraId="72B1DF41" w14:textId="77777777" w:rsidR="005B1006" w:rsidRDefault="005B1006" w:rsidP="005B1006">
      <w:pPr>
        <w:spacing w:after="56"/>
        <w:ind w:left="-10" w:right="8"/>
      </w:pPr>
      <w:r>
        <w:t xml:space="preserve">Daiichi Sankyo Europe GmbH </w:t>
      </w:r>
    </w:p>
    <w:p w14:paraId="2CCEC7DC" w14:textId="77777777" w:rsidR="005B1006" w:rsidRDefault="005B1006" w:rsidP="005B1006">
      <w:pPr>
        <w:spacing w:after="55"/>
        <w:ind w:left="-10" w:right="8"/>
      </w:pPr>
      <w:r>
        <w:t xml:space="preserve">Zielstattstrasse 48 </w:t>
      </w:r>
    </w:p>
    <w:p w14:paraId="13D61785" w14:textId="77777777" w:rsidR="005B1006" w:rsidRDefault="005B1006" w:rsidP="005B1006">
      <w:pPr>
        <w:spacing w:after="43"/>
        <w:ind w:left="-10" w:right="7011"/>
      </w:pPr>
      <w:r>
        <w:t xml:space="preserve">81379 Munich Vācija </w:t>
      </w:r>
    </w:p>
    <w:p w14:paraId="1750FF91" w14:textId="77777777" w:rsidR="005B1006" w:rsidRDefault="005B1006" w:rsidP="005B1006">
      <w:pPr>
        <w:spacing w:after="0" w:line="259" w:lineRule="auto"/>
        <w:ind w:firstLine="0"/>
      </w:pPr>
      <w:r>
        <w:t xml:space="preserve"> </w:t>
      </w:r>
    </w:p>
    <w:p w14:paraId="196924A3" w14:textId="77777777" w:rsidR="005B1006" w:rsidRDefault="005B1006" w:rsidP="005B1006">
      <w:pPr>
        <w:spacing w:after="51" w:line="259" w:lineRule="auto"/>
        <w:ind w:firstLine="0"/>
      </w:pPr>
      <w:r>
        <w:t xml:space="preserve"> </w:t>
      </w:r>
    </w:p>
    <w:p w14:paraId="71AF3536" w14:textId="77777777" w:rsidR="005B1006" w:rsidRDefault="005B1006" w:rsidP="005B1006">
      <w:pPr>
        <w:pStyle w:val="Heading1"/>
        <w:tabs>
          <w:tab w:val="center" w:pos="2826"/>
        </w:tabs>
        <w:ind w:left="-10" w:right="0" w:firstLine="0"/>
      </w:pPr>
      <w:r>
        <w:t xml:space="preserve">8. </w:t>
      </w:r>
      <w:r>
        <w:tab/>
        <w:t xml:space="preserve">REĢISTRĀCIJAS APLIECĪBAS NUMURS(-I) </w:t>
      </w:r>
    </w:p>
    <w:p w14:paraId="69995B11" w14:textId="77777777" w:rsidR="005B1006" w:rsidRDefault="005B1006" w:rsidP="005B1006">
      <w:pPr>
        <w:spacing w:after="23" w:line="259" w:lineRule="auto"/>
        <w:ind w:firstLine="0"/>
      </w:pPr>
      <w:r>
        <w:t xml:space="preserve"> </w:t>
      </w:r>
    </w:p>
    <w:p w14:paraId="3B477E28" w14:textId="77777777" w:rsidR="005B1006" w:rsidRDefault="005B1006" w:rsidP="005B1006">
      <w:pPr>
        <w:spacing w:after="59" w:line="259" w:lineRule="auto"/>
        <w:ind w:left="0" w:hanging="10"/>
      </w:pPr>
      <w:r>
        <w:rPr>
          <w:u w:val="single" w:color="000000"/>
        </w:rPr>
        <w:t>Lixiana 15 mg apvalkotās tabletes</w:t>
      </w:r>
      <w:r>
        <w:t xml:space="preserve"> </w:t>
      </w:r>
    </w:p>
    <w:p w14:paraId="40BF9C59" w14:textId="77777777" w:rsidR="005B1006" w:rsidRDefault="005B1006" w:rsidP="005B1006">
      <w:pPr>
        <w:ind w:left="-10" w:right="8"/>
      </w:pPr>
      <w:r>
        <w:t xml:space="preserve">EU/1/15/993/001, EU/1/15/993/016 </w:t>
      </w:r>
    </w:p>
    <w:p w14:paraId="11DDD7AE" w14:textId="77777777" w:rsidR="005B1006" w:rsidRDefault="005B1006" w:rsidP="005B1006">
      <w:pPr>
        <w:spacing w:after="23" w:line="259" w:lineRule="auto"/>
        <w:ind w:firstLine="0"/>
      </w:pPr>
      <w:r>
        <w:t xml:space="preserve"> </w:t>
      </w:r>
    </w:p>
    <w:p w14:paraId="06A7DD6B" w14:textId="77777777" w:rsidR="005B1006" w:rsidRDefault="005B1006" w:rsidP="005B1006">
      <w:pPr>
        <w:spacing w:after="54" w:line="259" w:lineRule="auto"/>
        <w:ind w:left="0" w:hanging="10"/>
      </w:pPr>
      <w:r>
        <w:rPr>
          <w:u w:val="single" w:color="000000"/>
        </w:rPr>
        <w:t>Lixiana 30 mg apvalkotās tabletes</w:t>
      </w:r>
      <w:r>
        <w:t xml:space="preserve"> </w:t>
      </w:r>
    </w:p>
    <w:p w14:paraId="70E615FA" w14:textId="77777777" w:rsidR="005B1006" w:rsidRDefault="005B1006" w:rsidP="005B1006">
      <w:pPr>
        <w:ind w:left="-10" w:right="8"/>
      </w:pPr>
      <w:r>
        <w:t xml:space="preserve">EU/1/15/993/002, EU/1/15/993/004-015, EU/1/15/993/029 </w:t>
      </w:r>
    </w:p>
    <w:p w14:paraId="45E61C4B" w14:textId="77777777" w:rsidR="005B1006" w:rsidRDefault="005B1006" w:rsidP="005B1006">
      <w:pPr>
        <w:spacing w:after="23" w:line="259" w:lineRule="auto"/>
        <w:ind w:firstLine="0"/>
      </w:pPr>
      <w:r>
        <w:t xml:space="preserve"> </w:t>
      </w:r>
    </w:p>
    <w:p w14:paraId="27D8487B" w14:textId="77777777" w:rsidR="005B1006" w:rsidRDefault="005B1006" w:rsidP="005B1006">
      <w:pPr>
        <w:spacing w:after="55" w:line="259" w:lineRule="auto"/>
        <w:ind w:left="0" w:hanging="10"/>
      </w:pPr>
      <w:r>
        <w:rPr>
          <w:u w:val="single" w:color="000000"/>
        </w:rPr>
        <w:t>Lixiana 60 mg apvalkotās tabletes</w:t>
      </w:r>
      <w:r>
        <w:t xml:space="preserve"> </w:t>
      </w:r>
    </w:p>
    <w:p w14:paraId="2F616B5B" w14:textId="77777777" w:rsidR="005B1006" w:rsidRDefault="005B1006" w:rsidP="005B1006">
      <w:pPr>
        <w:ind w:left="-10" w:right="8"/>
      </w:pPr>
      <w:r>
        <w:t xml:space="preserve">EU/1/15/993/003, EU/1/15/993/017-028, EU/1/15/993/030 </w:t>
      </w:r>
    </w:p>
    <w:p w14:paraId="47603F46" w14:textId="77777777" w:rsidR="005B1006" w:rsidRDefault="005B1006" w:rsidP="005B1006">
      <w:pPr>
        <w:spacing w:after="0" w:line="259" w:lineRule="auto"/>
        <w:ind w:firstLine="0"/>
      </w:pPr>
      <w:r>
        <w:t xml:space="preserve"> </w:t>
      </w:r>
    </w:p>
    <w:p w14:paraId="526849A1" w14:textId="77777777" w:rsidR="005B1006" w:rsidRDefault="005B1006" w:rsidP="005B1006">
      <w:pPr>
        <w:spacing w:after="53" w:line="259" w:lineRule="auto"/>
        <w:ind w:firstLine="0"/>
      </w:pPr>
      <w:r>
        <w:t xml:space="preserve"> </w:t>
      </w:r>
    </w:p>
    <w:p w14:paraId="05DD803B" w14:textId="77777777" w:rsidR="005B1006" w:rsidRDefault="005B1006" w:rsidP="005B1006">
      <w:pPr>
        <w:pStyle w:val="Heading1"/>
        <w:tabs>
          <w:tab w:val="center" w:pos="3578"/>
        </w:tabs>
        <w:ind w:left="-10" w:right="0" w:firstLine="0"/>
      </w:pPr>
      <w:r>
        <w:t xml:space="preserve">9. </w:t>
      </w:r>
      <w:r>
        <w:tab/>
        <w:t xml:space="preserve">PIRMĀS REĢISTRĀCIJAS/PĀRREĢISTRĀCIJAS DATUMS </w:t>
      </w:r>
    </w:p>
    <w:p w14:paraId="1D8D09A3" w14:textId="77777777" w:rsidR="005B1006" w:rsidRDefault="005B1006" w:rsidP="005B1006">
      <w:pPr>
        <w:spacing w:after="43" w:line="259" w:lineRule="auto"/>
        <w:ind w:firstLine="0"/>
      </w:pPr>
      <w:r>
        <w:rPr>
          <w:b/>
        </w:rPr>
        <w:t xml:space="preserve"> </w:t>
      </w:r>
    </w:p>
    <w:p w14:paraId="46B78084" w14:textId="77777777" w:rsidR="005B1006" w:rsidRDefault="005B1006" w:rsidP="005B1006">
      <w:pPr>
        <w:spacing w:after="54"/>
        <w:ind w:left="-10" w:right="8"/>
      </w:pPr>
      <w:r>
        <w:t xml:space="preserve">Reģistrācijas datums: 2015. gada 19. jūnijs </w:t>
      </w:r>
    </w:p>
    <w:p w14:paraId="08CA1AAD" w14:textId="77777777" w:rsidR="005B1006" w:rsidRDefault="005B1006" w:rsidP="005B1006">
      <w:pPr>
        <w:ind w:left="-10" w:right="8"/>
      </w:pPr>
      <w:r>
        <w:t xml:space="preserve">Pēdējās pārreģistrācijas datums: 2020. gada 24. februāris </w:t>
      </w:r>
    </w:p>
    <w:p w14:paraId="4C6E26B4" w14:textId="77777777" w:rsidR="005B1006" w:rsidRDefault="005B1006" w:rsidP="005B1006">
      <w:pPr>
        <w:spacing w:after="0" w:line="259" w:lineRule="auto"/>
        <w:ind w:firstLine="0"/>
      </w:pPr>
      <w:r>
        <w:t xml:space="preserve"> </w:t>
      </w:r>
    </w:p>
    <w:p w14:paraId="38CFA8A6" w14:textId="77777777" w:rsidR="005B1006" w:rsidRDefault="005B1006" w:rsidP="005B1006">
      <w:pPr>
        <w:spacing w:after="54" w:line="259" w:lineRule="auto"/>
        <w:ind w:firstLine="0"/>
      </w:pPr>
      <w:r>
        <w:t xml:space="preserve"> </w:t>
      </w:r>
    </w:p>
    <w:p w14:paraId="1185B94E" w14:textId="77777777" w:rsidR="005B1006" w:rsidRDefault="005B1006" w:rsidP="005B1006">
      <w:pPr>
        <w:pStyle w:val="Heading1"/>
        <w:tabs>
          <w:tab w:val="center" w:pos="2477"/>
        </w:tabs>
        <w:ind w:left="-10" w:right="0" w:firstLine="0"/>
      </w:pPr>
      <w:r>
        <w:t xml:space="preserve">10. </w:t>
      </w:r>
      <w:r>
        <w:tab/>
        <w:t xml:space="preserve">TEKSTA PĀRSKATĪŠANAS DATUMS </w:t>
      </w:r>
    </w:p>
    <w:p w14:paraId="5222A65F" w14:textId="77777777" w:rsidR="005B1006" w:rsidRDefault="005B1006" w:rsidP="005B1006">
      <w:pPr>
        <w:spacing w:after="0" w:line="259" w:lineRule="auto"/>
        <w:ind w:left="3" w:firstLine="0"/>
      </w:pPr>
      <w:r>
        <w:rPr>
          <w:b/>
        </w:rPr>
        <w:t xml:space="preserve"> </w:t>
      </w:r>
    </w:p>
    <w:p w14:paraId="16557DD4" w14:textId="77777777" w:rsidR="005B1006" w:rsidRDefault="005B1006" w:rsidP="005B1006">
      <w:pPr>
        <w:spacing w:after="0" w:line="259" w:lineRule="auto"/>
        <w:ind w:left="3" w:firstLine="0"/>
      </w:pPr>
      <w:r>
        <w:t xml:space="preserve"> </w:t>
      </w:r>
    </w:p>
    <w:p w14:paraId="68C8F665" w14:textId="77777777" w:rsidR="003E445A" w:rsidRDefault="005B1006" w:rsidP="005B1006">
      <w:r>
        <w:t xml:space="preserve">Sīkāka informācija par šīm zālēm ir pieejama Eiropas Zāļu aģentūras tīmekļa vietnē </w:t>
      </w:r>
      <w:hyperlink r:id="rId9">
        <w:r>
          <w:rPr>
            <w:color w:val="0000FF"/>
            <w:u w:val="single" w:color="0000FF"/>
          </w:rPr>
          <w:t>http://www.ema.europa.eu</w:t>
        </w:r>
      </w:hyperlink>
      <w:hyperlink r:id="rId10">
        <w:r>
          <w:t>.</w:t>
        </w:r>
      </w:hyperlink>
    </w:p>
    <w:sectPr w:rsidR="003E445A" w:rsidSect="000541ED">
      <w:pgSz w:w="11907" w:h="16840" w:code="9"/>
      <w:pgMar w:top="851"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8CDB" w14:textId="77777777" w:rsidR="0006490D" w:rsidRDefault="0006490D" w:rsidP="005B1006">
      <w:pPr>
        <w:spacing w:after="0" w:line="240" w:lineRule="auto"/>
      </w:pPr>
      <w:r>
        <w:separator/>
      </w:r>
    </w:p>
  </w:endnote>
  <w:endnote w:type="continuationSeparator" w:id="0">
    <w:p w14:paraId="2C4C6C23" w14:textId="77777777" w:rsidR="0006490D" w:rsidRDefault="0006490D" w:rsidP="005B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D3E5" w14:textId="77777777" w:rsidR="0006490D" w:rsidRDefault="0006490D" w:rsidP="005B1006">
      <w:pPr>
        <w:spacing w:after="0" w:line="240" w:lineRule="auto"/>
      </w:pPr>
      <w:r>
        <w:separator/>
      </w:r>
    </w:p>
  </w:footnote>
  <w:footnote w:type="continuationSeparator" w:id="0">
    <w:p w14:paraId="2D5FEA0E" w14:textId="77777777" w:rsidR="0006490D" w:rsidRDefault="0006490D" w:rsidP="005B1006">
      <w:pPr>
        <w:spacing w:after="0" w:line="240" w:lineRule="auto"/>
      </w:pPr>
      <w:r>
        <w:continuationSeparator/>
      </w:r>
    </w:p>
  </w:footnote>
  <w:footnote w:id="1">
    <w:p w14:paraId="3F9DF82D" w14:textId="77777777" w:rsidR="005B1006" w:rsidRDefault="005B1006" w:rsidP="005B1006">
      <w:pPr>
        <w:pStyle w:val="footnotedescription"/>
        <w:spacing w:line="329" w:lineRule="auto"/>
        <w:ind w:left="228" w:right="0" w:hanging="228"/>
      </w:pPr>
      <w:r>
        <w:rPr>
          <w:rStyle w:val="footnotemark"/>
        </w:rPr>
        <w:footnoteRef/>
      </w:r>
      <w:r>
        <w:t xml:space="preserve"> Ziņošanas rādītāju pamatā ir dati par sievietēm, kas piedalījās klīniskajos pētījumos. Par maksts asiņošanu bieži ziņoja sievietes līdz 50 gadu vecumam, bet sievietes pēc 50 gadu vecuma to novēroja retāk. </w:t>
      </w:r>
    </w:p>
  </w:footnote>
  <w:footnote w:id="2">
    <w:p w14:paraId="2A46A15A" w14:textId="77777777" w:rsidR="005B1006" w:rsidRDefault="005B1006" w:rsidP="005B1006">
      <w:pPr>
        <w:pStyle w:val="footnotedescription"/>
        <w:spacing w:line="316" w:lineRule="auto"/>
        <w:ind w:left="4" w:right="191" w:firstLine="0"/>
      </w:pPr>
      <w:r>
        <w:rPr>
          <w:rStyle w:val="footnotemark"/>
        </w:rPr>
        <w:footnoteRef/>
      </w:r>
      <w:r>
        <w:t xml:space="preserve"> „Pēc devas” atbilst C</w:t>
      </w:r>
      <w:r>
        <w:rPr>
          <w:sz w:val="14"/>
        </w:rPr>
        <w:t>max</w:t>
      </w:r>
      <w:r>
        <w:t xml:space="preserve"> (paraugi pēc devas tika iegūti 1–3 stundas pēc edoksabāna ievadīšanas). </w:t>
      </w:r>
      <w:r>
        <w:rPr>
          <w:vertAlign w:val="superscript"/>
        </w:rPr>
        <w:t>2</w:t>
      </w:r>
      <w:r>
        <w:t xml:space="preserve"> „Pirms devas” atbilst C</w:t>
      </w:r>
      <w:r>
        <w:rPr>
          <w:sz w:val="14"/>
        </w:rPr>
        <w:t>min</w:t>
      </w:r>
      <w:r>
        <w:t xml:space="preserve">. </w:t>
      </w:r>
    </w:p>
    <w:p w14:paraId="72A8CCB7" w14:textId="77777777" w:rsidR="005B1006" w:rsidRDefault="005B1006" w:rsidP="005B1006">
      <w:pPr>
        <w:pStyle w:val="footnotedescription"/>
        <w:spacing w:line="259" w:lineRule="auto"/>
        <w:ind w:left="4" w:right="0" w:firstLine="0"/>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C17"/>
    <w:multiLevelType w:val="hybridMultilevel"/>
    <w:tmpl w:val="73667E7C"/>
    <w:lvl w:ilvl="0" w:tplc="DA70B9F2">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ACB56">
      <w:start w:val="1"/>
      <w:numFmt w:val="bullet"/>
      <w:lvlText w:val=""/>
      <w:lvlJc w:val="left"/>
      <w:pPr>
        <w:ind w:left="1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187F40">
      <w:start w:val="1"/>
      <w:numFmt w:val="bullet"/>
      <w:lvlText w:val="▪"/>
      <w:lvlJc w:val="left"/>
      <w:pPr>
        <w:ind w:left="1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303D58">
      <w:start w:val="1"/>
      <w:numFmt w:val="bullet"/>
      <w:lvlText w:val="•"/>
      <w:lvlJc w:val="left"/>
      <w:pPr>
        <w:ind w:left="25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AEBE74">
      <w:start w:val="1"/>
      <w:numFmt w:val="bullet"/>
      <w:lvlText w:val="o"/>
      <w:lvlJc w:val="left"/>
      <w:pPr>
        <w:ind w:left="32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567548">
      <w:start w:val="1"/>
      <w:numFmt w:val="bullet"/>
      <w:lvlText w:val="▪"/>
      <w:lvlJc w:val="left"/>
      <w:pPr>
        <w:ind w:left="40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ED8BB16">
      <w:start w:val="1"/>
      <w:numFmt w:val="bullet"/>
      <w:lvlText w:val="•"/>
      <w:lvlJc w:val="left"/>
      <w:pPr>
        <w:ind w:left="47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A46DC6">
      <w:start w:val="1"/>
      <w:numFmt w:val="bullet"/>
      <w:lvlText w:val="o"/>
      <w:lvlJc w:val="left"/>
      <w:pPr>
        <w:ind w:left="5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BE13E6">
      <w:start w:val="1"/>
      <w:numFmt w:val="bullet"/>
      <w:lvlText w:val="▪"/>
      <w:lvlJc w:val="left"/>
      <w:pPr>
        <w:ind w:left="6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3C2A6C"/>
    <w:multiLevelType w:val="hybridMultilevel"/>
    <w:tmpl w:val="64E62158"/>
    <w:lvl w:ilvl="0" w:tplc="96E8D34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03DE0">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460AE">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F8AF8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64128">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A988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89F5E">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486A8">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6DEDC">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B632A9"/>
    <w:multiLevelType w:val="hybridMultilevel"/>
    <w:tmpl w:val="992E24E4"/>
    <w:lvl w:ilvl="0" w:tplc="9E8E298C">
      <w:start w:val="1"/>
      <w:numFmt w:val="bullet"/>
      <w:lvlText w:val="•"/>
      <w:lvlJc w:val="left"/>
      <w:pPr>
        <w:ind w:left="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C94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03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BED0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12B8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1852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14D2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243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E4AB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361648"/>
    <w:multiLevelType w:val="hybridMultilevel"/>
    <w:tmpl w:val="E800C41C"/>
    <w:lvl w:ilvl="0" w:tplc="E7C2C50C">
      <w:start w:val="1"/>
      <w:numFmt w:val="lowerLetter"/>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F52AF6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B1024E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71A2C9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33A217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5A1685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28A241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8D6A91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E702E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4" w15:restartNumberingAfterBreak="0">
    <w:nsid w:val="1F56638D"/>
    <w:multiLevelType w:val="hybridMultilevel"/>
    <w:tmpl w:val="B5261B44"/>
    <w:lvl w:ilvl="0" w:tplc="601A41E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AC7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F45D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AC7A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BE587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38E5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C9A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8F4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7ACC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17AAE"/>
    <w:multiLevelType w:val="hybridMultilevel"/>
    <w:tmpl w:val="5D888E70"/>
    <w:lvl w:ilvl="0" w:tplc="D66CAA58">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5CB6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BA15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2048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0894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E72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E79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085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00E7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7A09DA"/>
    <w:multiLevelType w:val="hybridMultilevel"/>
    <w:tmpl w:val="28D27134"/>
    <w:lvl w:ilvl="0" w:tplc="5928B9E6">
      <w:start w:val="1"/>
      <w:numFmt w:val="bullet"/>
      <w:lvlText w:val="-"/>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4E08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EED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A1F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CAE8E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E9D5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B4B58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E6C3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3ED4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1126BD"/>
    <w:multiLevelType w:val="hybridMultilevel"/>
    <w:tmpl w:val="A672F80E"/>
    <w:lvl w:ilvl="0" w:tplc="BB3685DA">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E0E34">
      <w:start w:val="1"/>
      <w:numFmt w:val="bullet"/>
      <w:lvlText w:val="o"/>
      <w:lvlJc w:val="left"/>
      <w:pPr>
        <w:ind w:left="1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DAB6FC">
      <w:start w:val="1"/>
      <w:numFmt w:val="bullet"/>
      <w:lvlText w:val="▪"/>
      <w:lvlJc w:val="left"/>
      <w:pPr>
        <w:ind w:left="1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0C4AB6">
      <w:start w:val="1"/>
      <w:numFmt w:val="bullet"/>
      <w:lvlText w:val="•"/>
      <w:lvlJc w:val="left"/>
      <w:pPr>
        <w:ind w:left="2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66D5A">
      <w:start w:val="1"/>
      <w:numFmt w:val="bullet"/>
      <w:lvlText w:val="o"/>
      <w:lvlJc w:val="left"/>
      <w:pPr>
        <w:ind w:left="3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EAED78">
      <w:start w:val="1"/>
      <w:numFmt w:val="bullet"/>
      <w:lvlText w:val="▪"/>
      <w:lvlJc w:val="left"/>
      <w:pPr>
        <w:ind w:left="4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EBB06">
      <w:start w:val="1"/>
      <w:numFmt w:val="bullet"/>
      <w:lvlText w:val="•"/>
      <w:lvlJc w:val="left"/>
      <w:pPr>
        <w:ind w:left="4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601D6">
      <w:start w:val="1"/>
      <w:numFmt w:val="bullet"/>
      <w:lvlText w:val="o"/>
      <w:lvlJc w:val="left"/>
      <w:pPr>
        <w:ind w:left="5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FCBA14">
      <w:start w:val="1"/>
      <w:numFmt w:val="bullet"/>
      <w:lvlText w:val="▪"/>
      <w:lvlJc w:val="left"/>
      <w:pPr>
        <w:ind w:left="6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0E72A4"/>
    <w:multiLevelType w:val="hybridMultilevel"/>
    <w:tmpl w:val="A74694E4"/>
    <w:lvl w:ilvl="0" w:tplc="554831CA">
      <w:start w:val="1"/>
      <w:numFmt w:val="bullet"/>
      <w:lvlText w:val="-"/>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FE160C">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047866">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A047E8">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62F9DE">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D616D4">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2CABDE">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8FD98">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288882">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52E3B"/>
    <w:multiLevelType w:val="hybridMultilevel"/>
    <w:tmpl w:val="7A30016C"/>
    <w:lvl w:ilvl="0" w:tplc="06F6462A">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04B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8CD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4CE6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C7D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8EB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4EB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8BE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0C2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C04DF"/>
    <w:multiLevelType w:val="hybridMultilevel"/>
    <w:tmpl w:val="024EE970"/>
    <w:lvl w:ilvl="0" w:tplc="F3801E4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282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2C49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FE85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3057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BA22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627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4ED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27A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543705"/>
    <w:multiLevelType w:val="hybridMultilevel"/>
    <w:tmpl w:val="0A0830A6"/>
    <w:lvl w:ilvl="0" w:tplc="D35059B0">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0987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DCEB4E">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BA9A6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50750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5CD8C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A4C4EA">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DCCDA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CA8950">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D02D13"/>
    <w:multiLevelType w:val="hybridMultilevel"/>
    <w:tmpl w:val="EC9A828A"/>
    <w:lvl w:ilvl="0" w:tplc="769A4F92">
      <w:start w:val="1"/>
      <w:numFmt w:val="bullet"/>
      <w:lvlText w:val="-"/>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C854AA">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254F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BA6AA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87238">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94A06C">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A45C0C">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0B68C">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BE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510EA3"/>
    <w:multiLevelType w:val="hybridMultilevel"/>
    <w:tmpl w:val="7188C76A"/>
    <w:lvl w:ilvl="0" w:tplc="DA8A718C">
      <w:start w:val="1"/>
      <w:numFmt w:val="bullet"/>
      <w:lvlText w:val="-"/>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0E1706">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F61B14">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1E501E">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A67102">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E2AB5A">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E198A">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DE3150">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D00C16">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6D7642"/>
    <w:multiLevelType w:val="hybridMultilevel"/>
    <w:tmpl w:val="24C2855A"/>
    <w:lvl w:ilvl="0" w:tplc="713C752C">
      <w:start w:val="1"/>
      <w:numFmt w:val="bullet"/>
      <w:lvlText w:val="-"/>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43E2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709CD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A682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8405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C4B1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CB82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20D2A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68D3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731291"/>
    <w:multiLevelType w:val="hybridMultilevel"/>
    <w:tmpl w:val="02720884"/>
    <w:lvl w:ilvl="0" w:tplc="FA08B824">
      <w:start w:val="3"/>
      <w:numFmt w:val="upperLetter"/>
      <w:lvlText w:val="%1."/>
      <w:lvlJc w:val="left"/>
      <w:pPr>
        <w:ind w:left="7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A92A19A">
      <w:start w:val="1"/>
      <w:numFmt w:val="lowerLetter"/>
      <w:lvlText w:val="%2"/>
      <w:lvlJc w:val="left"/>
      <w:pPr>
        <w:ind w:left="2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049808">
      <w:start w:val="1"/>
      <w:numFmt w:val="lowerRoman"/>
      <w:lvlText w:val="%3"/>
      <w:lvlJc w:val="left"/>
      <w:pPr>
        <w:ind w:left="2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A0C33A4">
      <w:start w:val="1"/>
      <w:numFmt w:val="decimal"/>
      <w:lvlText w:val="%4"/>
      <w:lvlJc w:val="left"/>
      <w:pPr>
        <w:ind w:left="3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1C4F76">
      <w:start w:val="1"/>
      <w:numFmt w:val="lowerLetter"/>
      <w:lvlText w:val="%5"/>
      <w:lvlJc w:val="left"/>
      <w:pPr>
        <w:ind w:left="4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E4A21E">
      <w:start w:val="1"/>
      <w:numFmt w:val="lowerRoman"/>
      <w:lvlText w:val="%6"/>
      <w:lvlJc w:val="left"/>
      <w:pPr>
        <w:ind w:left="4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70C9EA">
      <w:start w:val="1"/>
      <w:numFmt w:val="decimal"/>
      <w:lvlText w:val="%7"/>
      <w:lvlJc w:val="left"/>
      <w:pPr>
        <w:ind w:left="5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5492F8">
      <w:start w:val="1"/>
      <w:numFmt w:val="lowerLetter"/>
      <w:lvlText w:val="%8"/>
      <w:lvlJc w:val="left"/>
      <w:pPr>
        <w:ind w:left="6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B265F0E">
      <w:start w:val="1"/>
      <w:numFmt w:val="lowerRoman"/>
      <w:lvlText w:val="%9"/>
      <w:lvlJc w:val="left"/>
      <w:pPr>
        <w:ind w:left="7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3E7F72"/>
    <w:multiLevelType w:val="hybridMultilevel"/>
    <w:tmpl w:val="02D61D26"/>
    <w:lvl w:ilvl="0" w:tplc="B52E134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C6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BA8E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B2F2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6A7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C4B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07E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24A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C400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3F787F"/>
    <w:multiLevelType w:val="hybridMultilevel"/>
    <w:tmpl w:val="DBCE086A"/>
    <w:lvl w:ilvl="0" w:tplc="2766F42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4DB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1C37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4202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6BC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1669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219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AC25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860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8939C8"/>
    <w:multiLevelType w:val="hybridMultilevel"/>
    <w:tmpl w:val="FFF62BDC"/>
    <w:lvl w:ilvl="0" w:tplc="245AEAB8">
      <w:start w:val="2"/>
      <w:numFmt w:val="upperLetter"/>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190FA4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788408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2C3FF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2CA30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E40A5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F0843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30FE5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AADD7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D409AF"/>
    <w:multiLevelType w:val="hybridMultilevel"/>
    <w:tmpl w:val="5F8CE034"/>
    <w:lvl w:ilvl="0" w:tplc="E5406DAC">
      <w:start w:val="1"/>
      <w:numFmt w:val="bullet"/>
      <w:lvlText w:val="•"/>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16888A">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AC25A">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EC0D8">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239FA">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20C760">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A806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E2AB2">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3C7308">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9"/>
  </w:num>
  <w:num w:numId="3">
    <w:abstractNumId w:val="11"/>
  </w:num>
  <w:num w:numId="4">
    <w:abstractNumId w:val="3"/>
  </w:num>
  <w:num w:numId="5">
    <w:abstractNumId w:val="15"/>
  </w:num>
  <w:num w:numId="6">
    <w:abstractNumId w:val="18"/>
  </w:num>
  <w:num w:numId="7">
    <w:abstractNumId w:val="2"/>
  </w:num>
  <w:num w:numId="8">
    <w:abstractNumId w:val="0"/>
  </w:num>
  <w:num w:numId="9">
    <w:abstractNumId w:val="16"/>
  </w:num>
  <w:num w:numId="10">
    <w:abstractNumId w:val="17"/>
  </w:num>
  <w:num w:numId="11">
    <w:abstractNumId w:val="10"/>
  </w:num>
  <w:num w:numId="12">
    <w:abstractNumId w:val="14"/>
  </w:num>
  <w:num w:numId="13">
    <w:abstractNumId w:val="5"/>
  </w:num>
  <w:num w:numId="14">
    <w:abstractNumId w:val="8"/>
  </w:num>
  <w:num w:numId="15">
    <w:abstractNumId w:val="6"/>
  </w:num>
  <w:num w:numId="16">
    <w:abstractNumId w:val="12"/>
  </w:num>
  <w:num w:numId="17">
    <w:abstractNumId w:val="4"/>
  </w:num>
  <w:num w:numId="18">
    <w:abstractNumId w:val="1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06"/>
    <w:rsid w:val="000541ED"/>
    <w:rsid w:val="0006490D"/>
    <w:rsid w:val="001840F8"/>
    <w:rsid w:val="003E445A"/>
    <w:rsid w:val="005B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4870"/>
  <w15:chartTrackingRefBased/>
  <w15:docId w15:val="{A641F9D3-6524-4BFB-AB78-C4ECE031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06"/>
    <w:pPr>
      <w:spacing w:after="5" w:line="269" w:lineRule="auto"/>
      <w:ind w:left="4" w:firstLine="4"/>
    </w:pPr>
    <w:rPr>
      <w:rFonts w:ascii="Times New Roman" w:eastAsia="Times New Roman" w:hAnsi="Times New Roman" w:cs="Times New Roman"/>
      <w:color w:val="000000"/>
    </w:rPr>
  </w:style>
  <w:style w:type="paragraph" w:styleId="Heading1">
    <w:name w:val="heading 1"/>
    <w:next w:val="Normal"/>
    <w:link w:val="Heading1Char"/>
    <w:uiPriority w:val="9"/>
    <w:qFormat/>
    <w:rsid w:val="005B1006"/>
    <w:pPr>
      <w:keepNext/>
      <w:keepLines/>
      <w:spacing w:line="259" w:lineRule="auto"/>
      <w:ind w:left="10" w:right="3547"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5B1006"/>
    <w:pPr>
      <w:keepNext/>
      <w:keepLines/>
      <w:spacing w:line="259" w:lineRule="auto"/>
      <w:ind w:left="14"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rsid w:val="005B1006"/>
    <w:pPr>
      <w:keepNext/>
      <w:keepLines/>
      <w:spacing w:after="62" w:line="259" w:lineRule="auto"/>
      <w:ind w:left="14" w:hanging="10"/>
      <w:outlineLvl w:val="2"/>
    </w:pPr>
    <w:rPr>
      <w:rFonts w:ascii="Times New Roman" w:eastAsia="Times New Roman" w:hAnsi="Times New Roman" w:cs="Times New Roman"/>
      <w:i/>
      <w:color w:val="000000"/>
    </w:rPr>
  </w:style>
  <w:style w:type="paragraph" w:styleId="Heading4">
    <w:name w:val="heading 4"/>
    <w:next w:val="Normal"/>
    <w:link w:val="Heading4Char"/>
    <w:uiPriority w:val="9"/>
    <w:unhideWhenUsed/>
    <w:qFormat/>
    <w:rsid w:val="005B1006"/>
    <w:pPr>
      <w:keepNext/>
      <w:keepLines/>
      <w:spacing w:line="259" w:lineRule="auto"/>
      <w:ind w:left="10" w:right="3547"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006"/>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5B1006"/>
    <w:rPr>
      <w:rFonts w:ascii="Times New Roman" w:eastAsia="Times New Roman" w:hAnsi="Times New Roman" w:cs="Times New Roman"/>
      <w:color w:val="000000"/>
      <w:u w:val="single" w:color="000000"/>
    </w:rPr>
  </w:style>
  <w:style w:type="character" w:customStyle="1" w:styleId="Heading3Char">
    <w:name w:val="Heading 3 Char"/>
    <w:basedOn w:val="DefaultParagraphFont"/>
    <w:link w:val="Heading3"/>
    <w:uiPriority w:val="9"/>
    <w:rsid w:val="005B1006"/>
    <w:rPr>
      <w:rFonts w:ascii="Times New Roman" w:eastAsia="Times New Roman" w:hAnsi="Times New Roman" w:cs="Times New Roman"/>
      <w:i/>
      <w:color w:val="000000"/>
    </w:rPr>
  </w:style>
  <w:style w:type="character" w:customStyle="1" w:styleId="Heading4Char">
    <w:name w:val="Heading 4 Char"/>
    <w:basedOn w:val="DefaultParagraphFont"/>
    <w:link w:val="Heading4"/>
    <w:uiPriority w:val="9"/>
    <w:rsid w:val="005B1006"/>
    <w:rPr>
      <w:rFonts w:ascii="Times New Roman" w:eastAsia="Times New Roman" w:hAnsi="Times New Roman" w:cs="Times New Roman"/>
      <w:b/>
      <w:color w:val="000000"/>
    </w:rPr>
  </w:style>
  <w:style w:type="paragraph" w:customStyle="1" w:styleId="footnotedescription">
    <w:name w:val="footnote description"/>
    <w:next w:val="Normal"/>
    <w:link w:val="footnotedescriptionChar"/>
    <w:hidden/>
    <w:rsid w:val="005B1006"/>
    <w:pPr>
      <w:spacing w:line="322" w:lineRule="auto"/>
      <w:ind w:left="116" w:right="95" w:hanging="114"/>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5B1006"/>
    <w:rPr>
      <w:rFonts w:ascii="Times New Roman" w:eastAsia="Times New Roman" w:hAnsi="Times New Roman" w:cs="Times New Roman"/>
      <w:color w:val="000000"/>
    </w:rPr>
  </w:style>
  <w:style w:type="character" w:customStyle="1" w:styleId="footnotemark">
    <w:name w:val="footnote mark"/>
    <w:hidden/>
    <w:rsid w:val="005B1006"/>
    <w:rPr>
      <w:rFonts w:ascii="Times New Roman" w:eastAsia="Times New Roman" w:hAnsi="Times New Roman" w:cs="Times New Roman"/>
      <w:color w:val="000000"/>
      <w:sz w:val="22"/>
      <w:vertAlign w:val="superscript"/>
    </w:rPr>
  </w:style>
  <w:style w:type="table" w:customStyle="1" w:styleId="TableGrid">
    <w:name w:val="TableGrid"/>
    <w:rsid w:val="005B1006"/>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L-SERVER/Global/Daiichi%20Sankyo%20Development%20Ltd/2017-05-15%2097279%20Lixiana%20Cardioversion%20Type%20II%20variation%20EN%20to%2024/07_visual%20(cb)/the%20national%20reporting%20system%20listed%20in%20Appendix%20V" TargetMode="External"/><Relationship Id="rId3" Type="http://schemas.openxmlformats.org/officeDocument/2006/relationships/settings" Target="settings.xml"/><Relationship Id="rId7" Type="http://schemas.openxmlformats.org/officeDocument/2006/relationships/hyperlink" Target="file://DWL-SERVER/Global/Daiichi%20Sankyo%20Development%20Ltd/2017-05-15%2097279%20Lixiana%20Cardioversion%20Type%20II%20variation%20EN%20to%2024/07_visual%20(cb)/the%20national%20reporting%20system%20listed%20in%20Appendix%20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11393</Words>
  <Characters>64942</Characters>
  <Application>Microsoft Office Word</Application>
  <DocSecurity>0</DocSecurity>
  <Lines>541</Lines>
  <Paragraphs>152</Paragraphs>
  <ScaleCrop>false</ScaleCrop>
  <Company/>
  <LinksUpToDate>false</LinksUpToDate>
  <CharactersWithSpaces>76183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Naginevičius</dc:creator>
  <cp:keywords/>
  <dc:description/>
  <cp:lastModifiedBy>Rytis Naginevičius</cp:lastModifiedBy>
  <cp:revision>1</cp:revision>
  <dcterms:created xsi:type="dcterms:W3CDTF">2021-08-04T06:57:00Z</dcterms:created>
  <dcterms:modified xsi:type="dcterms:W3CDTF">2021-08-04T06:57:00Z</dcterms:modified>
</cp:coreProperties>
</file>